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D8B948" w14:textId="77777777" w:rsidR="00BE0DA2" w:rsidRDefault="008A7013">
      <w:pPr>
        <w:spacing w:before="200" w:after="80"/>
      </w:pPr>
      <w:r>
        <w:rPr>
          <w:b/>
          <w:bCs/>
          <w:color w:val="1F3864"/>
          <w:sz w:val="44"/>
          <w:szCs w:val="44"/>
        </w:rPr>
        <w:t>WDI 2026 Topic Scoring Criteria</w:t>
      </w:r>
    </w:p>
    <w:p w14:paraId="70D8B949" w14:textId="77777777" w:rsidR="00BE0DA2" w:rsidRDefault="008A7013">
      <w:pPr>
        <w:spacing w:after="300"/>
      </w:pPr>
      <w:r>
        <w:rPr>
          <w:b/>
          <w:bCs/>
          <w:color w:val="2E75B6"/>
          <w:sz w:val="36"/>
          <w:szCs w:val="36"/>
        </w:rPr>
        <w:t>Topic 21: Worker Wellbeing</w:t>
      </w:r>
    </w:p>
    <w:p w14:paraId="70D8B94A" w14:textId="77777777" w:rsidR="00BE0DA2" w:rsidRDefault="00BE0DA2">
      <w:pPr>
        <w:pBdr>
          <w:bottom w:val="single" w:sz="4" w:space="1" w:color="D9D9D9"/>
        </w:pBdr>
        <w:spacing w:before="240" w:after="240"/>
      </w:pPr>
    </w:p>
    <w:p w14:paraId="70D8B94B" w14:textId="77777777" w:rsidR="00BE0DA2" w:rsidRDefault="008A7013">
      <w:pPr>
        <w:pStyle w:val="Heading1"/>
        <w:spacing w:before="360" w:after="160"/>
      </w:pPr>
      <w:r>
        <w:rPr>
          <w:b/>
          <w:bCs/>
          <w:color w:val="1F3864"/>
          <w:sz w:val="34"/>
          <w:szCs w:val="34"/>
        </w:rPr>
        <w:t>1. Topic Overview</w:t>
      </w:r>
    </w:p>
    <w:p w14:paraId="70D8B94C" w14:textId="77777777" w:rsidR="00BE0DA2" w:rsidRDefault="008A7013">
      <w:pPr>
        <w:spacing w:before="80" w:after="80"/>
      </w:pPr>
      <w:r>
        <w:rPr>
          <w:color w:val="1A1A1A"/>
        </w:rPr>
        <w:t>This topic assesses the company’s health and wellbeing programme, the measures in place to ensure sick workers can take leave without penalisation, and the flexibility offered around medical certification requirements.</w:t>
      </w:r>
    </w:p>
    <w:p w14:paraId="70D8B94D" w14:textId="77777777" w:rsidR="00BE0DA2" w:rsidRDefault="008A7013">
      <w:pPr>
        <w:spacing w:before="80" w:after="80"/>
      </w:pPr>
      <w:r>
        <w:rPr>
          <w:color w:val="1A1A1A"/>
        </w:rPr>
        <w:t xml:space="preserve">The topic is scored using eight questions: Q8.9 (wellbeing programme gate, Yes/Not Yet), Q8.9a (if Yes — programme categories dropdown + outcome evidence text, 150 words), Q8.9b (if Not Yet — plans and alternative measures, text 150 words), Q8.10 (sick leave and economic protection measures, text 300 words, ALWAYS applicable), Q8.10a (worker coverage dropdown, ALWAYS applicable), Q8.10b (medical note requirement Yes/No, ALWAYS applicable), and Q8.10c (flexible alternatives to medical notes, text 300 words, </w:t>
      </w:r>
      <w:r>
        <w:rPr>
          <w:color w:val="1A1A1A"/>
        </w:rPr>
        <w:t>ALWAYS applicable). Q8.C is excluded from scoring.</w:t>
      </w:r>
    </w:p>
    <w:p w14:paraId="70D8B94E" w14:textId="77777777" w:rsidR="00BE0DA2" w:rsidRDefault="008A7013">
      <w:pPr>
        <w:pStyle w:val="Heading2"/>
        <w:spacing w:before="280" w:after="120"/>
      </w:pPr>
      <w:r>
        <w:rPr>
          <w:b/>
          <w:bCs/>
          <w:color w:val="2E75B6"/>
        </w:rPr>
        <w:t>Always-Applicable Questions: Q8.10, Q8.10a, Q8.10b, Q8.10c</w:t>
      </w:r>
    </w:p>
    <w:p w14:paraId="70D8B94F" w14:textId="77777777" w:rsidR="00BE0DA2" w:rsidRDefault="008A7013">
      <w:pPr>
        <w:spacing w:before="80" w:after="80"/>
      </w:pPr>
      <w:r>
        <w:rPr>
          <w:color w:val="1A1A1A"/>
        </w:rPr>
        <w:t>Q8.10, Q8.10a, Q8.10b, and Q8.10c are always applicable — every company must address sick leave measures and medical certification policy regardless of Q8.9 gate status. This means Approach draws from always-applicable sources and is not zero for companies on the Not Yet path for Q8.9. A company with Not Yet at Q8.9 can still score significantly on Approach via Q8.10 and its sub-questions.</w:t>
      </w:r>
    </w:p>
    <w:p w14:paraId="70D8B950" w14:textId="77777777" w:rsidR="00BE0DA2" w:rsidRDefault="008A7013">
      <w:pPr>
        <w:pStyle w:val="Heading2"/>
        <w:spacing w:before="280" w:after="120"/>
      </w:pPr>
      <w:r>
        <w:rPr>
          <w:b/>
          <w:bCs/>
          <w:color w:val="2E75B6"/>
        </w:rPr>
        <w:t>Not Yet Cap: Q8.9 Gate</w:t>
      </w:r>
    </w:p>
    <w:p w14:paraId="70D8B951" w14:textId="77777777" w:rsidR="00BE0DA2" w:rsidRDefault="008A7013">
      <w:pPr>
        <w:spacing w:before="80" w:after="80"/>
      </w:pPr>
      <w:r>
        <w:rPr>
          <w:color w:val="1A1A1A"/>
        </w:rPr>
        <w:t>Q8.9b carries both Awareness and Approach tags. The Not Yet cap applies: Q8.9b contributions to Awareness and Approach are both capped at 3. Q8.9b has an Awareness tag (plans + timeline element), so a substantive Q8.9b response with a specific implementation timeline lifts Awareness from 1 to 3 (capped). The Awareness scale is 0,1,3,5.</w:t>
      </w:r>
    </w:p>
    <w:p w14:paraId="70D8B952" w14:textId="77777777" w:rsidR="00BE0DA2" w:rsidRDefault="008A7013">
      <w:pPr>
        <w:pStyle w:val="Heading2"/>
        <w:spacing w:before="280" w:after="120"/>
      </w:pPr>
      <w:r>
        <w:rPr>
          <w:b/>
          <w:bCs/>
          <w:color w:val="2E75B6"/>
        </w:rPr>
        <w:t>3A Dimension Mapping</w:t>
      </w:r>
    </w:p>
    <w:p w14:paraId="70D8B953" w14:textId="77777777" w:rsidR="00BE0DA2" w:rsidRDefault="008A7013">
      <w:pPr>
        <w:spacing w:before="80" w:after="80"/>
      </w:pPr>
      <w:r>
        <w:rPr>
          <w:color w:val="1A1A1A"/>
        </w:rPr>
        <w:t xml:space="preserve">Awareness: Q8.9 gate (always — binary recognition of whether a wellbeing programme exists) + Q8.9b plans element (if Not Yet, capped at 3). Approach: Q8.9a programme categories dropdown (if Yes — breadth of offering types) + Q8.9b alternative wellbeing measures (if Not Yet, capped at 3) + Q8.10 sick leave measures description (always) + Q8.10a worker coverage selection (always) + Q8.10b medical note Yes/No decision (always) + Q8.10c flexible alternatives description (always). Action: Q8.9a outcome evidence </w:t>
      </w:r>
      <w:r>
        <w:rPr>
          <w:color w:val="1A1A1A"/>
        </w:rPr>
        <w:t xml:space="preserve">text (if </w:t>
      </w:r>
      <w:proofErr w:type="gramStart"/>
      <w:r>
        <w:rPr>
          <w:color w:val="1A1A1A"/>
        </w:rPr>
        <w:t>Yes</w:t>
      </w:r>
      <w:proofErr w:type="gramEnd"/>
      <w:r>
        <w:rPr>
          <w:color w:val="1A1A1A"/>
        </w:rPr>
        <w:t xml:space="preserve"> — one specific wellbeing programme outcome with an example evidencing it, including geographic/business scope).</w:t>
      </w:r>
    </w:p>
    <w:p w14:paraId="70D8B954" w14:textId="77777777" w:rsidR="00BE0DA2" w:rsidRDefault="008A7013">
      <w:pPr>
        <w:spacing w:before="80" w:after="60"/>
      </w:pPr>
      <w:r>
        <w:rPr>
          <w:i/>
          <w:iCs/>
          <w:color w:val="666666"/>
          <w:sz w:val="17"/>
          <w:szCs w:val="17"/>
        </w:rPr>
        <w:t>Q8.C (Notes on Worker wellbeing) is excluded from scoring.</w:t>
      </w:r>
    </w:p>
    <w:p w14:paraId="70D8B955" w14:textId="77777777" w:rsidR="00BE0DA2" w:rsidRDefault="00BE0DA2">
      <w:pPr>
        <w:pBdr>
          <w:bottom w:val="single" w:sz="4" w:space="1" w:color="D9D9D9"/>
        </w:pBdr>
        <w:spacing w:before="240" w:after="240"/>
      </w:pPr>
    </w:p>
    <w:p w14:paraId="70D8B956" w14:textId="77777777" w:rsidR="00BE0DA2" w:rsidRDefault="008A7013">
      <w:pPr>
        <w:pStyle w:val="Heading1"/>
        <w:spacing w:before="360" w:after="160"/>
      </w:pPr>
      <w:r>
        <w:rPr>
          <w:b/>
          <w:bCs/>
          <w:color w:val="1F3864"/>
          <w:sz w:val="34"/>
          <w:szCs w:val="34"/>
        </w:rPr>
        <w:t>2. Dimension Definitions</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360"/>
        <w:gridCol w:w="3360"/>
        <w:gridCol w:w="3360"/>
      </w:tblGrid>
      <w:tr w:rsidR="00BE0DA2" w14:paraId="70D8B95A" w14:textId="77777777">
        <w:tblPrEx>
          <w:tblCellMar>
            <w:top w:w="0" w:type="dxa"/>
            <w:bottom w:w="0" w:type="dxa"/>
          </w:tblCellMar>
        </w:tblPrEx>
        <w:trPr>
          <w:tblHeader/>
        </w:trPr>
        <w:tc>
          <w:tcPr>
            <w:tcW w:w="3360" w:type="dxa"/>
            <w:tcBorders>
              <w:top w:val="single" w:sz="4" w:space="0" w:color="2E75B6"/>
              <w:left w:val="single" w:sz="1" w:space="0" w:color="CCCCCC"/>
              <w:bottom w:val="single" w:sz="4" w:space="0" w:color="2E75B6"/>
              <w:right w:val="single" w:sz="1" w:space="0" w:color="CCCCCC"/>
            </w:tcBorders>
            <w:shd w:val="clear" w:color="auto" w:fill="2E75B6"/>
            <w:tcMar>
              <w:top w:w="100" w:type="dxa"/>
              <w:left w:w="130" w:type="dxa"/>
              <w:bottom w:w="100" w:type="dxa"/>
              <w:right w:w="130" w:type="dxa"/>
            </w:tcMar>
            <w:vAlign w:val="center"/>
          </w:tcPr>
          <w:p w14:paraId="70D8B957" w14:textId="77777777" w:rsidR="00BE0DA2" w:rsidRDefault="008A7013">
            <w:pPr>
              <w:jc w:val="center"/>
            </w:pPr>
            <w:r>
              <w:rPr>
                <w:b/>
                <w:bCs/>
                <w:color w:val="FFFFFF"/>
                <w:sz w:val="17"/>
                <w:szCs w:val="17"/>
              </w:rPr>
              <w:t>AWARENESS</w:t>
            </w:r>
          </w:p>
        </w:tc>
        <w:tc>
          <w:tcPr>
            <w:tcW w:w="3360" w:type="dxa"/>
            <w:tcBorders>
              <w:top w:val="single" w:sz="4" w:space="0" w:color="70AD47"/>
              <w:left w:val="single" w:sz="1" w:space="0" w:color="CCCCCC"/>
              <w:bottom w:val="single" w:sz="4" w:space="0" w:color="70AD47"/>
              <w:right w:val="single" w:sz="1" w:space="0" w:color="CCCCCC"/>
            </w:tcBorders>
            <w:shd w:val="clear" w:color="auto" w:fill="70AD47"/>
            <w:tcMar>
              <w:top w:w="100" w:type="dxa"/>
              <w:left w:w="130" w:type="dxa"/>
              <w:bottom w:w="100" w:type="dxa"/>
              <w:right w:w="130" w:type="dxa"/>
            </w:tcMar>
            <w:vAlign w:val="center"/>
          </w:tcPr>
          <w:p w14:paraId="70D8B958" w14:textId="77777777" w:rsidR="00BE0DA2" w:rsidRDefault="008A7013">
            <w:pPr>
              <w:jc w:val="center"/>
            </w:pPr>
            <w:r>
              <w:rPr>
                <w:b/>
                <w:bCs/>
                <w:color w:val="FFFFFF"/>
                <w:sz w:val="17"/>
                <w:szCs w:val="17"/>
              </w:rPr>
              <w:t>APPROACH</w:t>
            </w:r>
          </w:p>
        </w:tc>
        <w:tc>
          <w:tcPr>
            <w:tcW w:w="3360" w:type="dxa"/>
            <w:tcBorders>
              <w:top w:val="single" w:sz="4" w:space="0" w:color="ED7D31"/>
              <w:left w:val="single" w:sz="1" w:space="0" w:color="CCCCCC"/>
              <w:bottom w:val="single" w:sz="4" w:space="0" w:color="ED7D31"/>
              <w:right w:val="single" w:sz="1" w:space="0" w:color="CCCCCC"/>
            </w:tcBorders>
            <w:shd w:val="clear" w:color="auto" w:fill="ED7D31"/>
            <w:tcMar>
              <w:top w:w="100" w:type="dxa"/>
              <w:left w:w="130" w:type="dxa"/>
              <w:bottom w:w="100" w:type="dxa"/>
              <w:right w:w="130" w:type="dxa"/>
            </w:tcMar>
            <w:vAlign w:val="center"/>
          </w:tcPr>
          <w:p w14:paraId="70D8B959" w14:textId="77777777" w:rsidR="00BE0DA2" w:rsidRDefault="008A7013">
            <w:pPr>
              <w:jc w:val="center"/>
            </w:pPr>
            <w:r>
              <w:rPr>
                <w:b/>
                <w:bCs/>
                <w:color w:val="FFFFFF"/>
                <w:sz w:val="17"/>
                <w:szCs w:val="17"/>
              </w:rPr>
              <w:t>ACTION</w:t>
            </w:r>
          </w:p>
        </w:tc>
      </w:tr>
      <w:tr w:rsidR="00BE0DA2" w14:paraId="70D8B95E" w14:textId="77777777">
        <w:tblPrEx>
          <w:tblCellMar>
            <w:top w:w="0" w:type="dxa"/>
            <w:bottom w:w="0" w:type="dxa"/>
          </w:tblCellMar>
        </w:tblPrEx>
        <w:tc>
          <w:tcPr>
            <w:tcW w:w="336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70D8B95B" w14:textId="77777777" w:rsidR="00BE0DA2" w:rsidRDefault="008A7013">
            <w:pPr>
              <w:spacing w:before="20" w:after="20"/>
            </w:pPr>
            <w:r>
              <w:rPr>
                <w:color w:val="1A1A1A"/>
                <w:sz w:val="18"/>
                <w:szCs w:val="18"/>
              </w:rPr>
              <w:t xml:space="preserve">Awareness is assessed from Q8.9 (always applicable) and Q8.9b plans element (if Not Yet, capped at 3).  Q8.9 gate (always applicable): Yes = full recognition that the company offers a health and/or wellbeing programme. Not Yet = acknowledgement that it </w:t>
            </w:r>
            <w:r>
              <w:rPr>
                <w:color w:val="1A1A1A"/>
                <w:sz w:val="18"/>
                <w:szCs w:val="18"/>
              </w:rPr>
              <w:lastRenderedPageBreak/>
              <w:t>does not yet.  Q8.9b plans element (if Not Yet, capped at 3): ‘if there are any plans to implement one and the timeline for its implementation.’ A specific timeline lifts Awareness from 1 to 3 (capped).  Four Awareness states: blank = 0; Not Yet with no plans or vague response = 1; Not Yet with specific plans and timeline = 3 (capped); Yes = 5.  Primary evidence: the Q8.9 Yes/Not Yet selection, and for Not Yet companies, whether Q8.9b provides a specific implementation timeline.</w:t>
            </w:r>
          </w:p>
        </w:tc>
        <w:tc>
          <w:tcPr>
            <w:tcW w:w="336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70D8B95C" w14:textId="77777777" w:rsidR="00BE0DA2" w:rsidRDefault="008A7013">
            <w:pPr>
              <w:spacing w:before="20" w:after="20"/>
            </w:pPr>
            <w:r>
              <w:rPr>
                <w:color w:val="1A1A1A"/>
                <w:sz w:val="18"/>
                <w:szCs w:val="18"/>
              </w:rPr>
              <w:lastRenderedPageBreak/>
              <w:t xml:space="preserve">Approach is assessed from six sources: Q8.9a categories (if </w:t>
            </w:r>
            <w:proofErr w:type="gramStart"/>
            <w:r>
              <w:rPr>
                <w:color w:val="1A1A1A"/>
                <w:sz w:val="18"/>
                <w:szCs w:val="18"/>
              </w:rPr>
              <w:t>Yes</w:t>
            </w:r>
            <w:proofErr w:type="gramEnd"/>
            <w:r>
              <w:rPr>
                <w:color w:val="1A1A1A"/>
                <w:sz w:val="18"/>
                <w:szCs w:val="18"/>
              </w:rPr>
              <w:t xml:space="preserve">), Q8.9b alternative measures (if Not Yet, capped at 3), Q8.10 (always), Q8.10a (always), Q8.10b (always), and Q8.10c (always).  Q8.9a categories (if Yes): the 9-category </w:t>
            </w:r>
            <w:r>
              <w:rPr>
                <w:color w:val="1A1A1A"/>
                <w:sz w:val="18"/>
                <w:szCs w:val="18"/>
              </w:rPr>
              <w:lastRenderedPageBreak/>
              <w:t>dropdown — select all that apply: Healthcare coverage; Mental health and wellbeing support (EAP/counselling); Occupational health/return-to-work support; Fitness/physical wellbeing, nutrition and healthy lifestyle support; Family support and caregiving assistance; Safety/ergonomics and injury prevention; Workplace adjustments and access</w:t>
            </w:r>
            <w:r>
              <w:rPr>
                <w:color w:val="1A1A1A"/>
                <w:sz w:val="18"/>
                <w:szCs w:val="18"/>
              </w:rPr>
              <w:t xml:space="preserve">ibility support (disability/neurodiversity); Flexible/hybrid working wellbeing support; Other. Breadth of categories selected is the Approach evidence — a company selecting 6–8 categories </w:t>
            </w:r>
            <w:proofErr w:type="gramStart"/>
            <w:r>
              <w:rPr>
                <w:color w:val="1A1A1A"/>
                <w:sz w:val="18"/>
                <w:szCs w:val="18"/>
              </w:rPr>
              <w:t>demonstrates</w:t>
            </w:r>
            <w:proofErr w:type="gramEnd"/>
            <w:r>
              <w:rPr>
                <w:color w:val="1A1A1A"/>
                <w:sz w:val="18"/>
                <w:szCs w:val="18"/>
              </w:rPr>
              <w:t xml:space="preserve"> a more comprehensive wellbeing framework than one selecting only 1–2.  Q8.9b (if Not Yet, capped at 3): alternative measures that ensure health and wellbeing of workers.  Q8.10 (always applicable): the specific measures ensuring workers who are unwell can take sick leave or other absences: paid sick leave, fle</w:t>
            </w:r>
            <w:r>
              <w:rPr>
                <w:color w:val="1A1A1A"/>
                <w:sz w:val="18"/>
                <w:szCs w:val="18"/>
              </w:rPr>
              <w:t xml:space="preserve">xible sick leave, pre-arranged back-up coverage/workload management, return-to-work protocols, remote/hybrid options. Also: policies ensuring workers won’t be penalised for absences beyond local government requirements, and whether measures apply to workers self-isolating or quarantining.  Q8.10a (always applicable): which worker categories are covered under the Q8.10 measures (Indefinite/permanent, </w:t>
            </w:r>
            <w:proofErr w:type="gramStart"/>
            <w:r>
              <w:rPr>
                <w:color w:val="1A1A1A"/>
                <w:sz w:val="18"/>
                <w:szCs w:val="18"/>
              </w:rPr>
              <w:t>Fixed-term</w:t>
            </w:r>
            <w:proofErr w:type="gramEnd"/>
            <w:r>
              <w:rPr>
                <w:color w:val="1A1A1A"/>
                <w:sz w:val="18"/>
                <w:szCs w:val="18"/>
              </w:rPr>
              <w:t xml:space="preserve">/temporary, </w:t>
            </w:r>
            <w:proofErr w:type="gramStart"/>
            <w:r>
              <w:rPr>
                <w:color w:val="1A1A1A"/>
                <w:sz w:val="18"/>
                <w:szCs w:val="18"/>
              </w:rPr>
              <w:t>Non-guaranteed</w:t>
            </w:r>
            <w:proofErr w:type="gramEnd"/>
            <w:r>
              <w:rPr>
                <w:color w:val="1A1A1A"/>
                <w:sz w:val="18"/>
                <w:szCs w:val="18"/>
              </w:rPr>
              <w:t xml:space="preserve"> hours, Contractors, Agency workers, Franchisee workers, Third-party on s</w:t>
            </w:r>
            <w:r>
              <w:rPr>
                <w:color w:val="1A1A1A"/>
                <w:sz w:val="18"/>
                <w:szCs w:val="18"/>
              </w:rPr>
              <w:t xml:space="preserve">ite). Broader coverage = stronger Approach signal.  Q8.10b (always applicable): Yes/No answer on whether the company requires a medical sick note for short-term, minor illnesses. This is a specific governance decision point.  Q8.10c (always applicable): whether the company has considered flexible alternatives to medical notes (e.g., a pool of personal leave days not requiring certification), including whether they apply equally to all employees.  OR and </w:t>
            </w:r>
            <w:proofErr w:type="spellStart"/>
            <w:r>
              <w:rPr>
                <w:color w:val="1A1A1A"/>
                <w:sz w:val="18"/>
                <w:szCs w:val="18"/>
              </w:rPr>
              <w:t>AND</w:t>
            </w:r>
            <w:proofErr w:type="spellEnd"/>
            <w:r>
              <w:rPr>
                <w:color w:val="1A1A1A"/>
                <w:sz w:val="18"/>
                <w:szCs w:val="18"/>
              </w:rPr>
              <w:t xml:space="preserve"> logic: Q8.10 alone (always-applicable) can reach s</w:t>
            </w:r>
            <w:r>
              <w:rPr>
                <w:color w:val="1A1A1A"/>
                <w:sz w:val="18"/>
                <w:szCs w:val="18"/>
              </w:rPr>
              <w:t xml:space="preserve">core 1–3 independently (OR). Score 5 requires AND across all applicable sources: Q8.9a categories breadth (if Yes) AND Q8.10 substantive AND Q8.10a broad coverage AND Q8.10c addresses flexible alternatives.  Primary evidence: breadth of Q8.9a </w:t>
            </w:r>
            <w:r>
              <w:rPr>
                <w:color w:val="1A1A1A"/>
                <w:sz w:val="18"/>
                <w:szCs w:val="18"/>
              </w:rPr>
              <w:lastRenderedPageBreak/>
              <w:t>category selections, specificity of Q8.10 sick leave measures, breadth of Q8.10a worker coverage, and Q8.10c flexible alternatives description.</w:t>
            </w:r>
          </w:p>
        </w:tc>
        <w:tc>
          <w:tcPr>
            <w:tcW w:w="336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70D8B95D" w14:textId="77777777" w:rsidR="00BE0DA2" w:rsidRDefault="008A7013">
            <w:pPr>
              <w:spacing w:before="20" w:after="20"/>
            </w:pPr>
            <w:r>
              <w:rPr>
                <w:color w:val="1A1A1A"/>
                <w:sz w:val="18"/>
                <w:szCs w:val="18"/>
              </w:rPr>
              <w:lastRenderedPageBreak/>
              <w:t xml:space="preserve">Action is assessed from Q8.9a outcome evidence text (if Q8.9 = Yes) only.  Q8.9a contains two components: (1) the dropdown categories (Approach evidence, above) and (2) a 150-word text box asking for evidence of one wellbeing </w:t>
            </w:r>
            <w:r>
              <w:rPr>
                <w:color w:val="1A1A1A"/>
                <w:sz w:val="18"/>
                <w:szCs w:val="18"/>
              </w:rPr>
              <w:lastRenderedPageBreak/>
              <w:t xml:space="preserve">outcome. The guidance specifies: ‘information on the outcome of one well-being programme or action, with an example to evidence the outcome described.’ Outcomes may </w:t>
            </w:r>
            <w:proofErr w:type="gramStart"/>
            <w:r>
              <w:rPr>
                <w:color w:val="1A1A1A"/>
                <w:sz w:val="18"/>
                <w:szCs w:val="18"/>
              </w:rPr>
              <w:t>include:</w:t>
            </w:r>
            <w:proofErr w:type="gramEnd"/>
            <w:r>
              <w:rPr>
                <w:color w:val="1A1A1A"/>
                <w:sz w:val="18"/>
                <w:szCs w:val="18"/>
              </w:rPr>
              <w:t xml:space="preserve"> increased morale/engagement, lower sickness/absence rates, improved return-to-work rates after ill-health, increased productivity, rates of uptake for alternative working patterns, or case studies of worker wellbeing. The company is asked to specify which geographic and business activities the outcomes relate to.  Action evidence requir</w:t>
            </w:r>
            <w:r>
              <w:rPr>
                <w:color w:val="1A1A1A"/>
                <w:sz w:val="18"/>
                <w:szCs w:val="18"/>
              </w:rPr>
              <w:t xml:space="preserve">es: (a) a named outcome type (from the guidance list or equivalent); (b) an example or data point evidencing the outcome; (c) the geographic or business scope to which the outcome relates.  For companies on the Not Yet path (Q8.9b): Action = </w:t>
            </w:r>
            <w:proofErr w:type="gramStart"/>
            <w:r>
              <w:rPr>
                <w:color w:val="1A1A1A"/>
                <w:sz w:val="18"/>
                <w:szCs w:val="18"/>
              </w:rPr>
              <w:t>0 by definition</w:t>
            </w:r>
            <w:proofErr w:type="gramEnd"/>
            <w:r>
              <w:rPr>
                <w:color w:val="1A1A1A"/>
                <w:sz w:val="18"/>
                <w:szCs w:val="18"/>
              </w:rPr>
              <w:t>.  Because Action draws from a single conditional source and the guidance asks for one outcome with evidence, the scale is 0,1,3,5: no evidence / mentions an outcome without evidence / substantive outcome with example but scope not stated / full outcome +</w:t>
            </w:r>
            <w:r>
              <w:rPr>
                <w:color w:val="1A1A1A"/>
                <w:sz w:val="18"/>
                <w:szCs w:val="18"/>
              </w:rPr>
              <w:t xml:space="preserve"> example + geographic/business scope specified.  Primary evidence: named outcome, evidencing example or data, and scope specification in Q8.9a text.</w:t>
            </w:r>
          </w:p>
        </w:tc>
      </w:tr>
    </w:tbl>
    <w:p w14:paraId="70D8B95F" w14:textId="77777777" w:rsidR="00BE0DA2" w:rsidRDefault="00BE0DA2">
      <w:pPr>
        <w:pBdr>
          <w:bottom w:val="single" w:sz="4" w:space="1" w:color="D9D9D9"/>
        </w:pBdr>
        <w:spacing w:before="240" w:after="240"/>
      </w:pPr>
    </w:p>
    <w:p w14:paraId="70D8B960" w14:textId="77777777" w:rsidR="00BE0DA2" w:rsidRDefault="008A7013">
      <w:pPr>
        <w:pStyle w:val="Heading1"/>
        <w:spacing w:before="360" w:after="160"/>
      </w:pPr>
      <w:r>
        <w:rPr>
          <w:b/>
          <w:bCs/>
          <w:color w:val="1F3864"/>
          <w:sz w:val="34"/>
          <w:szCs w:val="34"/>
        </w:rPr>
        <w:t>3. Scoring Rubric — All Dimensions</w:t>
      </w:r>
    </w:p>
    <w:p w14:paraId="70D8B961" w14:textId="77777777" w:rsidR="00BE0DA2" w:rsidRDefault="008A7013">
      <w:pPr>
        <w:spacing w:before="80" w:after="60"/>
      </w:pPr>
      <w:r>
        <w:rPr>
          <w:i/>
          <w:iCs/>
          <w:color w:val="666666"/>
          <w:sz w:val="17"/>
          <w:szCs w:val="17"/>
        </w:rPr>
        <w:t xml:space="preserve">Awareness uses 0,1,3,5. Approach uses 0,1,2,3,5 (always-applicable Q8.10 sub-questions mean Approach is not zero even for Not Yet companies). Action uses 0,1,3,5 (single conditional source Q8.9a text; Action = 0 if Q8.9 = Not Yet). OR and </w:t>
      </w:r>
      <w:proofErr w:type="spellStart"/>
      <w:r>
        <w:rPr>
          <w:i/>
          <w:iCs/>
          <w:color w:val="666666"/>
          <w:sz w:val="17"/>
          <w:szCs w:val="17"/>
        </w:rPr>
        <w:t>AND</w:t>
      </w:r>
      <w:proofErr w:type="spellEnd"/>
      <w:r>
        <w:rPr>
          <w:i/>
          <w:iCs/>
          <w:color w:val="666666"/>
          <w:sz w:val="17"/>
          <w:szCs w:val="17"/>
        </w:rPr>
        <w:t xml:space="preserve"> logic explicitly stated at every level.</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60"/>
        <w:gridCol w:w="1197"/>
        <w:gridCol w:w="677"/>
        <w:gridCol w:w="1193"/>
        <w:gridCol w:w="3668"/>
        <w:gridCol w:w="2685"/>
      </w:tblGrid>
      <w:tr w:rsidR="00BE0DA2" w14:paraId="70D8B968" w14:textId="77777777">
        <w:tblPrEx>
          <w:tblCellMar>
            <w:top w:w="0" w:type="dxa"/>
            <w:bottom w:w="0" w:type="dxa"/>
          </w:tblCellMar>
        </w:tblPrEx>
        <w:trPr>
          <w:tblHeader/>
        </w:trPr>
        <w:tc>
          <w:tcPr>
            <w:tcW w:w="6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70D8B962" w14:textId="77777777" w:rsidR="00BE0DA2" w:rsidRDefault="008A7013">
            <w:pPr>
              <w:jc w:val="center"/>
            </w:pPr>
            <w:r>
              <w:rPr>
                <w:b/>
                <w:bCs/>
                <w:color w:val="FFFFFF"/>
                <w:sz w:val="15"/>
                <w:szCs w:val="15"/>
              </w:rPr>
              <w:t>Topic ID</w:t>
            </w:r>
          </w:p>
        </w:tc>
        <w:tc>
          <w:tcPr>
            <w:tcW w:w="12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70D8B963" w14:textId="77777777" w:rsidR="00BE0DA2" w:rsidRDefault="008A7013">
            <w:pPr>
              <w:jc w:val="center"/>
            </w:pPr>
            <w:r>
              <w:rPr>
                <w:b/>
                <w:bCs/>
                <w:color w:val="FFFFFF"/>
                <w:sz w:val="15"/>
                <w:szCs w:val="15"/>
              </w:rPr>
              <w:t>Dimension</w:t>
            </w:r>
          </w:p>
        </w:tc>
        <w:tc>
          <w:tcPr>
            <w:tcW w:w="5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70D8B964" w14:textId="77777777" w:rsidR="00BE0DA2" w:rsidRDefault="008A7013">
            <w:pPr>
              <w:jc w:val="center"/>
            </w:pPr>
            <w:r>
              <w:rPr>
                <w:b/>
                <w:bCs/>
                <w:color w:val="FFFFFF"/>
                <w:sz w:val="15"/>
                <w:szCs w:val="15"/>
              </w:rPr>
              <w:t>Score</w:t>
            </w:r>
          </w:p>
        </w:tc>
        <w:tc>
          <w:tcPr>
            <w:tcW w:w="12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70D8B965" w14:textId="77777777" w:rsidR="00BE0DA2" w:rsidRDefault="008A7013">
            <w:pPr>
              <w:jc w:val="center"/>
            </w:pPr>
            <w:r>
              <w:rPr>
                <w:b/>
                <w:bCs/>
                <w:color w:val="FFFFFF"/>
                <w:sz w:val="15"/>
                <w:szCs w:val="15"/>
              </w:rPr>
              <w:t>Level</w:t>
            </w:r>
          </w:p>
        </w:tc>
        <w:tc>
          <w:tcPr>
            <w:tcW w:w="38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70D8B966" w14:textId="77777777" w:rsidR="00BE0DA2" w:rsidRDefault="008A7013">
            <w:pPr>
              <w:jc w:val="center"/>
            </w:pPr>
            <w:r>
              <w:rPr>
                <w:b/>
                <w:bCs/>
                <w:color w:val="FFFFFF"/>
                <w:sz w:val="15"/>
                <w:szCs w:val="15"/>
              </w:rPr>
              <w:t>Scoring Criteria</w:t>
            </w:r>
          </w:p>
        </w:tc>
        <w:tc>
          <w:tcPr>
            <w:tcW w:w="278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70D8B967" w14:textId="77777777" w:rsidR="00BE0DA2" w:rsidRDefault="008A7013">
            <w:pPr>
              <w:jc w:val="center"/>
            </w:pPr>
            <w:r>
              <w:rPr>
                <w:b/>
                <w:bCs/>
                <w:color w:val="FFFFFF"/>
                <w:sz w:val="15"/>
                <w:szCs w:val="15"/>
              </w:rPr>
              <w:t>Next Step</w:t>
            </w:r>
          </w:p>
        </w:tc>
      </w:tr>
      <w:tr w:rsidR="00BE0DA2" w14:paraId="70D8B96F"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70D8B969" w14:textId="77777777" w:rsidR="00BE0DA2" w:rsidRDefault="008A7013">
            <w:pPr>
              <w:spacing w:before="20" w:after="20"/>
              <w:jc w:val="center"/>
            </w:pPr>
            <w:r>
              <w:rPr>
                <w:b/>
                <w:bCs/>
                <w:color w:val="1A1A1A"/>
                <w:sz w:val="17"/>
                <w:szCs w:val="17"/>
              </w:rPr>
              <w:t>21</w:t>
            </w:r>
          </w:p>
        </w:tc>
        <w:tc>
          <w:tcPr>
            <w:tcW w:w="12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70D8B96A" w14:textId="77777777" w:rsidR="00BE0DA2" w:rsidRDefault="008A7013">
            <w:pPr>
              <w:spacing w:before="20" w:after="20"/>
            </w:pPr>
            <w:r>
              <w:rPr>
                <w:b/>
                <w:bCs/>
                <w:color w:val="2E75B6"/>
                <w:sz w:val="17"/>
                <w:szCs w:val="17"/>
              </w:rPr>
              <w:t>Awareness</w:t>
            </w:r>
          </w:p>
        </w:tc>
        <w:tc>
          <w:tcPr>
            <w:tcW w:w="5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70D8B96B" w14:textId="77777777" w:rsidR="00BE0DA2" w:rsidRDefault="008A7013">
            <w:pPr>
              <w:spacing w:before="20" w:after="20"/>
              <w:jc w:val="center"/>
            </w:pPr>
            <w:r>
              <w:rPr>
                <w:b/>
                <w:bCs/>
                <w:color w:val="1A1A1A"/>
                <w:sz w:val="19"/>
                <w:szCs w:val="19"/>
              </w:rPr>
              <w:t>0</w:t>
            </w:r>
          </w:p>
        </w:tc>
        <w:tc>
          <w:tcPr>
            <w:tcW w:w="12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70D8B96C" w14:textId="77777777" w:rsidR="00BE0DA2" w:rsidRDefault="008A7013">
            <w:pPr>
              <w:spacing w:before="20" w:after="20"/>
            </w:pPr>
            <w:r>
              <w:rPr>
                <w:i/>
                <w:iCs/>
                <w:color w:val="1A1A1A"/>
                <w:sz w:val="17"/>
                <w:szCs w:val="17"/>
              </w:rPr>
              <w:t>No Awareness</w:t>
            </w:r>
          </w:p>
        </w:tc>
        <w:tc>
          <w:tcPr>
            <w:tcW w:w="38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70D8B96D" w14:textId="77777777" w:rsidR="00BE0DA2" w:rsidRDefault="008A7013">
            <w:pPr>
              <w:spacing w:before="20" w:after="20"/>
            </w:pPr>
            <w:r>
              <w:rPr>
                <w:color w:val="1A1A1A"/>
                <w:sz w:val="18"/>
                <w:szCs w:val="18"/>
              </w:rPr>
              <w:t>Q8.9 is blank — not answered. The company has not indicated whether it offers a health and/or wellbeing programme.</w:t>
            </w:r>
          </w:p>
        </w:tc>
        <w:tc>
          <w:tcPr>
            <w:tcW w:w="278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70D8B96E" w14:textId="77777777" w:rsidR="00BE0DA2" w:rsidRDefault="008A7013">
            <w:pPr>
              <w:spacing w:before="20" w:after="20"/>
            </w:pPr>
            <w:r>
              <w:rPr>
                <w:i/>
                <w:iCs/>
                <w:color w:val="1A1A1A"/>
                <w:sz w:val="17"/>
                <w:szCs w:val="17"/>
              </w:rPr>
              <w:t>Select Yes or Not Yet at Q8.9. If Not Yet, complete Q8.9b with any plans for implementation and any alternative wellbeing measures currently in place.</w:t>
            </w:r>
          </w:p>
        </w:tc>
      </w:tr>
      <w:tr w:rsidR="00BE0DA2" w14:paraId="70D8B976"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70D8B970" w14:textId="77777777" w:rsidR="00BE0DA2" w:rsidRDefault="008A7013">
            <w:pPr>
              <w:spacing w:before="20" w:after="20"/>
              <w:jc w:val="center"/>
            </w:pPr>
            <w:r>
              <w:rPr>
                <w:b/>
                <w:bCs/>
                <w:color w:val="1A1A1A"/>
                <w:sz w:val="17"/>
                <w:szCs w:val="17"/>
              </w:rPr>
              <w:t>21</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70D8B971" w14:textId="77777777" w:rsidR="00BE0DA2" w:rsidRDefault="008A7013">
            <w:pPr>
              <w:spacing w:before="20" w:after="20"/>
            </w:pPr>
            <w:r>
              <w:rPr>
                <w:b/>
                <w:bCs/>
                <w:color w:val="2E75B6"/>
                <w:sz w:val="17"/>
                <w:szCs w:val="17"/>
              </w:rPr>
              <w:t>Awareness</w:t>
            </w:r>
          </w:p>
        </w:tc>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70D8B972" w14:textId="77777777" w:rsidR="00BE0DA2" w:rsidRDefault="008A7013">
            <w:pPr>
              <w:spacing w:before="20" w:after="20"/>
              <w:jc w:val="center"/>
            </w:pPr>
            <w:r>
              <w:rPr>
                <w:b/>
                <w:bCs/>
                <w:color w:val="1A1A1A"/>
                <w:sz w:val="19"/>
                <w:szCs w:val="19"/>
              </w:rPr>
              <w:t>1</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70D8B973" w14:textId="77777777" w:rsidR="00BE0DA2" w:rsidRDefault="008A7013">
            <w:pPr>
              <w:spacing w:before="20" w:after="20"/>
            </w:pPr>
            <w:r>
              <w:rPr>
                <w:i/>
                <w:iCs/>
                <w:color w:val="1A1A1A"/>
                <w:sz w:val="17"/>
                <w:szCs w:val="17"/>
              </w:rPr>
              <w:t>Minimal Awareness</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70D8B974" w14:textId="77777777" w:rsidR="00BE0DA2" w:rsidRDefault="008A7013">
            <w:pPr>
              <w:spacing w:before="20" w:after="20"/>
            </w:pPr>
            <w:r>
              <w:rPr>
                <w:color w:val="1A1A1A"/>
                <w:sz w:val="18"/>
                <w:szCs w:val="18"/>
              </w:rPr>
              <w:t>Q8.9 = Not Yet AND Q8.9b is blank OR provides only a vague statement (e.g., ‘we plan to introduce a wellbeing programme in the future’) without a specific timeline for implementation. The company acknowledges the gap but has not demonstrated a concrete plan.</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70D8B975" w14:textId="77777777" w:rsidR="00BE0DA2" w:rsidRDefault="008A7013">
            <w:pPr>
              <w:spacing w:before="20" w:after="20"/>
            </w:pPr>
            <w:r>
              <w:rPr>
                <w:i/>
                <w:iCs/>
                <w:color w:val="1A1A1A"/>
                <w:sz w:val="17"/>
                <w:szCs w:val="17"/>
              </w:rPr>
              <w:t>In Q8.9b, include a specific timeline for when the wellbeing programme will be implemented. This lifts Awareness to score 3.</w:t>
            </w:r>
          </w:p>
        </w:tc>
      </w:tr>
      <w:tr w:rsidR="00BE0DA2" w14:paraId="70D8B97D"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70D8B977" w14:textId="77777777" w:rsidR="00BE0DA2" w:rsidRDefault="008A7013">
            <w:pPr>
              <w:spacing w:before="20" w:after="20"/>
              <w:jc w:val="center"/>
            </w:pPr>
            <w:r>
              <w:rPr>
                <w:b/>
                <w:bCs/>
                <w:color w:val="1A1A1A"/>
                <w:sz w:val="17"/>
                <w:szCs w:val="17"/>
              </w:rPr>
              <w:t>21</w:t>
            </w:r>
          </w:p>
        </w:tc>
        <w:tc>
          <w:tcPr>
            <w:tcW w:w="12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70D8B978" w14:textId="77777777" w:rsidR="00BE0DA2" w:rsidRDefault="008A7013">
            <w:pPr>
              <w:spacing w:before="20" w:after="20"/>
            </w:pPr>
            <w:r>
              <w:rPr>
                <w:b/>
                <w:bCs/>
                <w:color w:val="2E75B6"/>
                <w:sz w:val="17"/>
                <w:szCs w:val="17"/>
              </w:rPr>
              <w:t>Awareness</w:t>
            </w:r>
          </w:p>
        </w:tc>
        <w:tc>
          <w:tcPr>
            <w:tcW w:w="5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70D8B979" w14:textId="77777777" w:rsidR="00BE0DA2" w:rsidRDefault="008A7013">
            <w:pPr>
              <w:spacing w:before="20" w:after="20"/>
              <w:jc w:val="center"/>
            </w:pPr>
            <w:r>
              <w:rPr>
                <w:b/>
                <w:bCs/>
                <w:color w:val="1A1A1A"/>
                <w:sz w:val="19"/>
                <w:szCs w:val="19"/>
              </w:rPr>
              <w:t>3</w:t>
            </w:r>
          </w:p>
        </w:tc>
        <w:tc>
          <w:tcPr>
            <w:tcW w:w="12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70D8B97A" w14:textId="77777777" w:rsidR="00BE0DA2" w:rsidRDefault="008A7013">
            <w:pPr>
              <w:spacing w:before="20" w:after="20"/>
            </w:pPr>
            <w:r>
              <w:rPr>
                <w:i/>
                <w:iCs/>
                <w:color w:val="1A1A1A"/>
                <w:sz w:val="17"/>
                <w:szCs w:val="17"/>
              </w:rPr>
              <w:t>Adequate Awareness</w:t>
            </w:r>
          </w:p>
        </w:tc>
        <w:tc>
          <w:tcPr>
            <w:tcW w:w="38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70D8B97B" w14:textId="77777777" w:rsidR="00BE0DA2" w:rsidRDefault="008A7013">
            <w:pPr>
              <w:spacing w:before="20" w:after="20"/>
            </w:pPr>
            <w:r>
              <w:rPr>
                <w:color w:val="1A1A1A"/>
                <w:sz w:val="18"/>
                <w:szCs w:val="18"/>
              </w:rPr>
              <w:t>Q8.9 = Not Yet AND Q8.9b provides specific plans with a concrete implementation timeline. The company has clearly recognised the gap and committed to addressing it. This is the maximum Awareness score for the Not Yet path — score 5 requires Yes at Q8.9.</w:t>
            </w:r>
          </w:p>
        </w:tc>
        <w:tc>
          <w:tcPr>
            <w:tcW w:w="278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70D8B97C" w14:textId="77777777" w:rsidR="00BE0DA2" w:rsidRDefault="008A7013">
            <w:pPr>
              <w:spacing w:before="20" w:after="20"/>
            </w:pPr>
            <w:r>
              <w:rPr>
                <w:i/>
                <w:iCs/>
                <w:color w:val="1A1A1A"/>
                <w:sz w:val="17"/>
                <w:szCs w:val="17"/>
              </w:rPr>
              <w:t>Implement the wellbeing programme and select Yes at Q8.9 to reach the leading Awareness level.</w:t>
            </w:r>
          </w:p>
        </w:tc>
      </w:tr>
      <w:tr w:rsidR="00BE0DA2" w14:paraId="70D8B984"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70D8B97E" w14:textId="77777777" w:rsidR="00BE0DA2" w:rsidRDefault="008A7013">
            <w:pPr>
              <w:spacing w:before="20" w:after="20"/>
              <w:jc w:val="center"/>
            </w:pPr>
            <w:r>
              <w:rPr>
                <w:b/>
                <w:bCs/>
                <w:color w:val="1A1A1A"/>
                <w:sz w:val="17"/>
                <w:szCs w:val="17"/>
              </w:rPr>
              <w:t>21</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70D8B97F" w14:textId="77777777" w:rsidR="00BE0DA2" w:rsidRDefault="008A7013">
            <w:pPr>
              <w:spacing w:before="20" w:after="20"/>
            </w:pPr>
            <w:r>
              <w:rPr>
                <w:b/>
                <w:bCs/>
                <w:color w:val="2E75B6"/>
                <w:sz w:val="17"/>
                <w:szCs w:val="17"/>
              </w:rPr>
              <w:t>Awareness</w:t>
            </w:r>
          </w:p>
        </w:tc>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70D8B980" w14:textId="77777777" w:rsidR="00BE0DA2" w:rsidRDefault="008A7013">
            <w:pPr>
              <w:spacing w:before="20" w:after="20"/>
              <w:jc w:val="center"/>
            </w:pPr>
            <w:r>
              <w:rPr>
                <w:b/>
                <w:bCs/>
                <w:color w:val="1A1A1A"/>
                <w:sz w:val="19"/>
                <w:szCs w:val="19"/>
              </w:rPr>
              <w:t>5</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70D8B981" w14:textId="77777777" w:rsidR="00BE0DA2" w:rsidRDefault="008A7013">
            <w:pPr>
              <w:spacing w:before="20" w:after="20"/>
            </w:pPr>
            <w:r>
              <w:rPr>
                <w:i/>
                <w:iCs/>
                <w:color w:val="1A1A1A"/>
                <w:sz w:val="17"/>
                <w:szCs w:val="17"/>
              </w:rPr>
              <w:t>Leading Awareness</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70D8B982" w14:textId="77777777" w:rsidR="00BE0DA2" w:rsidRDefault="008A7013">
            <w:pPr>
              <w:spacing w:before="20" w:after="20"/>
            </w:pPr>
            <w:r>
              <w:rPr>
                <w:color w:val="1A1A1A"/>
                <w:sz w:val="18"/>
                <w:szCs w:val="18"/>
              </w:rPr>
              <w:t>Q8.9 = Yes. The company fully recognises that it offers a health and/or wellbeing programme. The breadth of the programme and evidence of outcomes are assessed in Approach and Action respectively.</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70D8B983" w14:textId="77777777" w:rsidR="00BE0DA2" w:rsidRDefault="008A7013">
            <w:pPr>
              <w:spacing w:before="20" w:after="20"/>
            </w:pPr>
            <w:r>
              <w:rPr>
                <w:i/>
                <w:iCs/>
                <w:color w:val="1A1A1A"/>
                <w:sz w:val="17"/>
                <w:szCs w:val="17"/>
              </w:rPr>
              <w:t>Highest level achieved for Awareness. Maintain the Yes selection and continue developing programme breadth (Approach) and outcome evidence (Action).</w:t>
            </w:r>
          </w:p>
        </w:tc>
      </w:tr>
      <w:tr w:rsidR="00BE0DA2" w14:paraId="70D8B98B"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70D8B985" w14:textId="77777777" w:rsidR="00BE0DA2" w:rsidRDefault="008A7013">
            <w:pPr>
              <w:spacing w:before="20" w:after="20"/>
              <w:jc w:val="center"/>
            </w:pPr>
            <w:r>
              <w:rPr>
                <w:b/>
                <w:bCs/>
                <w:color w:val="1A1A1A"/>
                <w:sz w:val="17"/>
                <w:szCs w:val="17"/>
              </w:rPr>
              <w:t>21</w:t>
            </w:r>
          </w:p>
        </w:tc>
        <w:tc>
          <w:tcPr>
            <w:tcW w:w="12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70D8B986" w14:textId="77777777" w:rsidR="00BE0DA2" w:rsidRDefault="008A7013">
            <w:pPr>
              <w:spacing w:before="20" w:after="20"/>
            </w:pPr>
            <w:r>
              <w:rPr>
                <w:b/>
                <w:bCs/>
                <w:color w:val="70AD47"/>
                <w:sz w:val="17"/>
                <w:szCs w:val="17"/>
              </w:rPr>
              <w:t>Approach</w:t>
            </w:r>
          </w:p>
        </w:tc>
        <w:tc>
          <w:tcPr>
            <w:tcW w:w="5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70D8B987" w14:textId="77777777" w:rsidR="00BE0DA2" w:rsidRDefault="008A7013">
            <w:pPr>
              <w:spacing w:before="20" w:after="20"/>
              <w:jc w:val="center"/>
            </w:pPr>
            <w:r>
              <w:rPr>
                <w:b/>
                <w:bCs/>
                <w:color w:val="1A1A1A"/>
                <w:sz w:val="19"/>
                <w:szCs w:val="19"/>
              </w:rPr>
              <w:t>0</w:t>
            </w:r>
          </w:p>
        </w:tc>
        <w:tc>
          <w:tcPr>
            <w:tcW w:w="12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70D8B988" w14:textId="77777777" w:rsidR="00BE0DA2" w:rsidRDefault="008A7013">
            <w:pPr>
              <w:spacing w:before="20" w:after="20"/>
            </w:pPr>
            <w:r>
              <w:rPr>
                <w:i/>
                <w:iCs/>
                <w:color w:val="1A1A1A"/>
                <w:sz w:val="17"/>
                <w:szCs w:val="17"/>
              </w:rPr>
              <w:t>No Approach</w:t>
            </w:r>
          </w:p>
        </w:tc>
        <w:tc>
          <w:tcPr>
            <w:tcW w:w="38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70D8B989" w14:textId="77777777" w:rsidR="00BE0DA2" w:rsidRDefault="008A7013">
            <w:pPr>
              <w:spacing w:before="20" w:after="20"/>
            </w:pPr>
            <w:r>
              <w:rPr>
                <w:color w:val="1A1A1A"/>
                <w:sz w:val="18"/>
                <w:szCs w:val="18"/>
              </w:rPr>
              <w:t>AND across all sources: Q8.9a categories not selected (if Q8.9 = Yes) AND Q8.9b blank (if Q8.9 = Not Yet) AND Q8.10 is blank (no sick leave measures described) AND Q8.10a has no worker categories selected AND Q8.10c is blank. No governance information is provided from any source.</w:t>
            </w:r>
          </w:p>
        </w:tc>
        <w:tc>
          <w:tcPr>
            <w:tcW w:w="278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70D8B98A" w14:textId="77777777" w:rsidR="00BE0DA2" w:rsidRDefault="008A7013">
            <w:pPr>
              <w:spacing w:before="20" w:after="20"/>
            </w:pPr>
            <w:r>
              <w:rPr>
                <w:i/>
                <w:iCs/>
                <w:color w:val="1A1A1A"/>
                <w:sz w:val="17"/>
                <w:szCs w:val="17"/>
              </w:rPr>
              <w:t>Complete Q8.10 with a description of at least one sick leave measure. Select which worker categories are covered in Q8.10a. Answer Q8.10b (Yes or No on medical note requirements).</w:t>
            </w:r>
          </w:p>
        </w:tc>
      </w:tr>
      <w:tr w:rsidR="00BE0DA2" w14:paraId="70D8B992"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70D8B98C" w14:textId="77777777" w:rsidR="00BE0DA2" w:rsidRDefault="008A7013">
            <w:pPr>
              <w:spacing w:before="20" w:after="20"/>
              <w:jc w:val="center"/>
            </w:pPr>
            <w:r>
              <w:rPr>
                <w:b/>
                <w:bCs/>
                <w:color w:val="1A1A1A"/>
                <w:sz w:val="17"/>
                <w:szCs w:val="17"/>
              </w:rPr>
              <w:t>21</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70D8B98D" w14:textId="77777777" w:rsidR="00BE0DA2" w:rsidRDefault="008A7013">
            <w:pPr>
              <w:spacing w:before="20" w:after="20"/>
            </w:pPr>
            <w:r>
              <w:rPr>
                <w:b/>
                <w:bCs/>
                <w:color w:val="70AD47"/>
                <w:sz w:val="17"/>
                <w:szCs w:val="17"/>
              </w:rPr>
              <w:t>Approach</w:t>
            </w:r>
          </w:p>
        </w:tc>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70D8B98E" w14:textId="77777777" w:rsidR="00BE0DA2" w:rsidRDefault="008A7013">
            <w:pPr>
              <w:spacing w:before="20" w:after="20"/>
              <w:jc w:val="center"/>
            </w:pPr>
            <w:r>
              <w:rPr>
                <w:b/>
                <w:bCs/>
                <w:color w:val="1A1A1A"/>
                <w:sz w:val="19"/>
                <w:szCs w:val="19"/>
              </w:rPr>
              <w:t>1</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70D8B98F" w14:textId="77777777" w:rsidR="00BE0DA2" w:rsidRDefault="008A7013">
            <w:pPr>
              <w:spacing w:before="20" w:after="20"/>
            </w:pPr>
            <w:r>
              <w:rPr>
                <w:i/>
                <w:iCs/>
                <w:color w:val="1A1A1A"/>
                <w:sz w:val="17"/>
                <w:szCs w:val="17"/>
              </w:rPr>
              <w:t>Minimal Approach</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70D8B990" w14:textId="77777777" w:rsidR="00BE0DA2" w:rsidRDefault="008A7013">
            <w:pPr>
              <w:spacing w:before="20" w:after="20"/>
            </w:pPr>
            <w:r>
              <w:rPr>
                <w:color w:val="1A1A1A"/>
                <w:sz w:val="18"/>
                <w:szCs w:val="18"/>
              </w:rPr>
              <w:t xml:space="preserve">OR across sources: Q8.10 mentions sick leave exists without describing specific measures (e.g., ‘we offer sick leave as required by law’); OR Q8.10a selects only one worker category; OR Q8.9a selects only 1–2 categories from the dropdown; OR Q8.9b mentions an alternative </w:t>
            </w:r>
            <w:r>
              <w:rPr>
                <w:color w:val="1A1A1A"/>
                <w:sz w:val="18"/>
                <w:szCs w:val="18"/>
              </w:rPr>
              <w:lastRenderedPageBreak/>
              <w:t>wellbeing measure exists without description. Some governance signal exists but minimal substance.</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70D8B991" w14:textId="77777777" w:rsidR="00BE0DA2" w:rsidRDefault="008A7013">
            <w:pPr>
              <w:spacing w:before="20" w:after="20"/>
            </w:pPr>
            <w:r>
              <w:rPr>
                <w:i/>
                <w:iCs/>
                <w:color w:val="1A1A1A"/>
                <w:sz w:val="17"/>
                <w:szCs w:val="17"/>
              </w:rPr>
              <w:lastRenderedPageBreak/>
              <w:t xml:space="preserve">In Q8.10, describe the specific measures in place: what type of sick leave is offered, how workload is managed during absence, and whether the company’s policy goes beyond local legal requirements. </w:t>
            </w:r>
            <w:r>
              <w:rPr>
                <w:i/>
                <w:iCs/>
                <w:color w:val="1A1A1A"/>
                <w:sz w:val="17"/>
                <w:szCs w:val="17"/>
              </w:rPr>
              <w:lastRenderedPageBreak/>
              <w:t>Complete Q8.10a with all applicable worker categories. Answer Q8.10b and complete Q8.10c.</w:t>
            </w:r>
          </w:p>
        </w:tc>
      </w:tr>
      <w:tr w:rsidR="00BE0DA2" w14:paraId="70D8B999"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70D8B993" w14:textId="77777777" w:rsidR="00BE0DA2" w:rsidRDefault="008A7013">
            <w:pPr>
              <w:spacing w:before="20" w:after="20"/>
              <w:jc w:val="center"/>
            </w:pPr>
            <w:r>
              <w:rPr>
                <w:b/>
                <w:bCs/>
                <w:color w:val="1A1A1A"/>
                <w:sz w:val="17"/>
                <w:szCs w:val="17"/>
              </w:rPr>
              <w:lastRenderedPageBreak/>
              <w:t>21</w:t>
            </w:r>
          </w:p>
        </w:tc>
        <w:tc>
          <w:tcPr>
            <w:tcW w:w="12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70D8B994" w14:textId="77777777" w:rsidR="00BE0DA2" w:rsidRDefault="008A7013">
            <w:pPr>
              <w:spacing w:before="20" w:after="20"/>
            </w:pPr>
            <w:r>
              <w:rPr>
                <w:b/>
                <w:bCs/>
                <w:color w:val="70AD47"/>
                <w:sz w:val="17"/>
                <w:szCs w:val="17"/>
              </w:rPr>
              <w:t>Approach</w:t>
            </w:r>
          </w:p>
        </w:tc>
        <w:tc>
          <w:tcPr>
            <w:tcW w:w="5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70D8B995" w14:textId="77777777" w:rsidR="00BE0DA2" w:rsidRDefault="008A7013">
            <w:pPr>
              <w:spacing w:before="20" w:after="20"/>
              <w:jc w:val="center"/>
            </w:pPr>
            <w:r>
              <w:rPr>
                <w:b/>
                <w:bCs/>
                <w:color w:val="1A1A1A"/>
                <w:sz w:val="19"/>
                <w:szCs w:val="19"/>
              </w:rPr>
              <w:t>2</w:t>
            </w:r>
          </w:p>
        </w:tc>
        <w:tc>
          <w:tcPr>
            <w:tcW w:w="12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70D8B996" w14:textId="77777777" w:rsidR="00BE0DA2" w:rsidRDefault="008A7013">
            <w:pPr>
              <w:spacing w:before="20" w:after="20"/>
            </w:pPr>
            <w:r>
              <w:rPr>
                <w:i/>
                <w:iCs/>
                <w:color w:val="1A1A1A"/>
                <w:sz w:val="17"/>
                <w:szCs w:val="17"/>
              </w:rPr>
              <w:t>Basic Approach</w:t>
            </w:r>
          </w:p>
        </w:tc>
        <w:tc>
          <w:tcPr>
            <w:tcW w:w="38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70D8B997" w14:textId="77777777" w:rsidR="00BE0DA2" w:rsidRDefault="008A7013">
            <w:pPr>
              <w:spacing w:before="20" w:after="20"/>
            </w:pPr>
            <w:r>
              <w:rPr>
                <w:color w:val="1A1A1A"/>
                <w:sz w:val="18"/>
                <w:szCs w:val="18"/>
              </w:rPr>
              <w:t>OR across sources: Q8.10 describes sick leave measures with some specificity (names at least one measure such as paid sick leave or return-to-work protocols) but does not address the non-penalisation policy or applicability to self-isolation; OR Q8.10a selects most worker categories but misses some applicable types; OR Q8.9a selects 3–4 categories; OR Q8.10b is answered but Q8.10c is blank. Two or more sources provide partial Approach evidence.</w:t>
            </w:r>
          </w:p>
        </w:tc>
        <w:tc>
          <w:tcPr>
            <w:tcW w:w="278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70D8B998" w14:textId="77777777" w:rsidR="00BE0DA2" w:rsidRDefault="008A7013">
            <w:pPr>
              <w:spacing w:before="20" w:after="20"/>
            </w:pPr>
            <w:r>
              <w:rPr>
                <w:i/>
                <w:iCs/>
                <w:color w:val="1A1A1A"/>
                <w:sz w:val="17"/>
                <w:szCs w:val="17"/>
              </w:rPr>
              <w:t xml:space="preserve">In Q8.10, explicitly </w:t>
            </w:r>
            <w:proofErr w:type="gramStart"/>
            <w:r>
              <w:rPr>
                <w:i/>
                <w:iCs/>
                <w:color w:val="1A1A1A"/>
                <w:sz w:val="17"/>
                <w:szCs w:val="17"/>
              </w:rPr>
              <w:t>describe:</w:t>
            </w:r>
            <w:proofErr w:type="gramEnd"/>
            <w:r>
              <w:rPr>
                <w:i/>
                <w:iCs/>
                <w:color w:val="1A1A1A"/>
                <w:sz w:val="17"/>
                <w:szCs w:val="17"/>
              </w:rPr>
              <w:t xml:space="preserve"> whether the company’s policies ensure workers won’t be penalised for taking sick leave beyond local requirements, and whether measures apply to workers self-isolating or quarantining. Complete Q8.10c to describe any flexible alternatives to medical certification.</w:t>
            </w:r>
          </w:p>
        </w:tc>
      </w:tr>
      <w:tr w:rsidR="00BE0DA2" w14:paraId="70D8B9A0"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70D8B99A" w14:textId="77777777" w:rsidR="00BE0DA2" w:rsidRDefault="008A7013">
            <w:pPr>
              <w:spacing w:before="20" w:after="20"/>
              <w:jc w:val="center"/>
            </w:pPr>
            <w:r>
              <w:rPr>
                <w:b/>
                <w:bCs/>
                <w:color w:val="1A1A1A"/>
                <w:sz w:val="17"/>
                <w:szCs w:val="17"/>
              </w:rPr>
              <w:t>21</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70D8B99B" w14:textId="77777777" w:rsidR="00BE0DA2" w:rsidRDefault="008A7013">
            <w:pPr>
              <w:spacing w:before="20" w:after="20"/>
            </w:pPr>
            <w:r>
              <w:rPr>
                <w:b/>
                <w:bCs/>
                <w:color w:val="70AD47"/>
                <w:sz w:val="17"/>
                <w:szCs w:val="17"/>
              </w:rPr>
              <w:t>Approach</w:t>
            </w:r>
          </w:p>
        </w:tc>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70D8B99C" w14:textId="77777777" w:rsidR="00BE0DA2" w:rsidRDefault="008A7013">
            <w:pPr>
              <w:spacing w:before="20" w:after="20"/>
              <w:jc w:val="center"/>
            </w:pPr>
            <w:r>
              <w:rPr>
                <w:b/>
                <w:bCs/>
                <w:color w:val="1A1A1A"/>
                <w:sz w:val="19"/>
                <w:szCs w:val="19"/>
              </w:rPr>
              <w:t>3</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70D8B99D" w14:textId="77777777" w:rsidR="00BE0DA2" w:rsidRDefault="008A7013">
            <w:pPr>
              <w:spacing w:before="20" w:after="20"/>
            </w:pPr>
            <w:r>
              <w:rPr>
                <w:i/>
                <w:iCs/>
                <w:color w:val="1A1A1A"/>
                <w:sz w:val="17"/>
                <w:szCs w:val="17"/>
              </w:rPr>
              <w:t>Adequate Approach</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70D8B99E" w14:textId="77777777" w:rsidR="00BE0DA2" w:rsidRDefault="008A7013">
            <w:pPr>
              <w:spacing w:before="20" w:after="20"/>
            </w:pPr>
            <w:r>
              <w:rPr>
                <w:color w:val="1A1A1A"/>
                <w:sz w:val="18"/>
                <w:szCs w:val="18"/>
              </w:rPr>
              <w:t xml:space="preserve">OR across sources: Q8.10 addresses at least two of the three required areas (specific sick leave measures, non-penalisation policy, self-isolation applicability) with reasonable specificity; AND Q8.10a covers all or most applicable worker categories; AND Q8.10b is answered. OR: Q8.9a (if </w:t>
            </w:r>
            <w:proofErr w:type="gramStart"/>
            <w:r>
              <w:rPr>
                <w:color w:val="1A1A1A"/>
                <w:sz w:val="18"/>
                <w:szCs w:val="18"/>
              </w:rPr>
              <w:t>Yes</w:t>
            </w:r>
            <w:proofErr w:type="gramEnd"/>
            <w:r>
              <w:rPr>
                <w:color w:val="1A1A1A"/>
                <w:sz w:val="18"/>
                <w:szCs w:val="18"/>
              </w:rPr>
              <w:t>) selects 5+ programme categories; OR Q8.9b (if Not Yet, CAPPED AT THIS LEVEL) describes substantive alternative wellbeing measures. Strength in the always-applicable Q8.10 sub-questions can reach this level independently.</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70D8B99F" w14:textId="77777777" w:rsidR="00BE0DA2" w:rsidRDefault="008A7013">
            <w:pPr>
              <w:spacing w:before="20" w:after="20"/>
            </w:pPr>
            <w:r>
              <w:rPr>
                <w:i/>
                <w:iCs/>
                <w:color w:val="1A1A1A"/>
                <w:sz w:val="17"/>
                <w:szCs w:val="17"/>
              </w:rPr>
              <w:t>For score 5 (AND): Q8.10 must address all three required areas, Q8.10a must cover all applicable worker categories, Q8.10c must describe flexible alternatives to medical notes and whether they apply equally to all employees, AND (if Q8.9 = Yes) Q8.9a must select 5+ categories.</w:t>
            </w:r>
          </w:p>
        </w:tc>
      </w:tr>
      <w:tr w:rsidR="00BE0DA2" w14:paraId="70D8B9A7"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70D8B9A1" w14:textId="77777777" w:rsidR="00BE0DA2" w:rsidRDefault="008A7013">
            <w:pPr>
              <w:spacing w:before="20" w:after="20"/>
              <w:jc w:val="center"/>
            </w:pPr>
            <w:r>
              <w:rPr>
                <w:b/>
                <w:bCs/>
                <w:color w:val="1A1A1A"/>
                <w:sz w:val="17"/>
                <w:szCs w:val="17"/>
              </w:rPr>
              <w:t>21</w:t>
            </w:r>
          </w:p>
        </w:tc>
        <w:tc>
          <w:tcPr>
            <w:tcW w:w="12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70D8B9A2" w14:textId="77777777" w:rsidR="00BE0DA2" w:rsidRDefault="008A7013">
            <w:pPr>
              <w:spacing w:before="20" w:after="20"/>
            </w:pPr>
            <w:r>
              <w:rPr>
                <w:b/>
                <w:bCs/>
                <w:color w:val="70AD47"/>
                <w:sz w:val="17"/>
                <w:szCs w:val="17"/>
              </w:rPr>
              <w:t>Approach</w:t>
            </w:r>
          </w:p>
        </w:tc>
        <w:tc>
          <w:tcPr>
            <w:tcW w:w="5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70D8B9A3" w14:textId="77777777" w:rsidR="00BE0DA2" w:rsidRDefault="008A7013">
            <w:pPr>
              <w:spacing w:before="20" w:after="20"/>
              <w:jc w:val="center"/>
            </w:pPr>
            <w:r>
              <w:rPr>
                <w:b/>
                <w:bCs/>
                <w:color w:val="1A1A1A"/>
                <w:sz w:val="19"/>
                <w:szCs w:val="19"/>
              </w:rPr>
              <w:t>5</w:t>
            </w:r>
          </w:p>
        </w:tc>
        <w:tc>
          <w:tcPr>
            <w:tcW w:w="12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70D8B9A4" w14:textId="77777777" w:rsidR="00BE0DA2" w:rsidRDefault="008A7013">
            <w:pPr>
              <w:spacing w:before="20" w:after="20"/>
            </w:pPr>
            <w:r>
              <w:rPr>
                <w:i/>
                <w:iCs/>
                <w:color w:val="1A1A1A"/>
                <w:sz w:val="17"/>
                <w:szCs w:val="17"/>
              </w:rPr>
              <w:t>Leading Approach</w:t>
            </w:r>
          </w:p>
        </w:tc>
        <w:tc>
          <w:tcPr>
            <w:tcW w:w="38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70D8B9A5" w14:textId="77777777" w:rsidR="00BE0DA2" w:rsidRDefault="008A7013">
            <w:pPr>
              <w:spacing w:before="20" w:after="20"/>
            </w:pPr>
            <w:r>
              <w:rPr>
                <w:color w:val="1A1A1A"/>
                <w:sz w:val="18"/>
                <w:szCs w:val="18"/>
              </w:rPr>
              <w:t>AND across applicable sources: Q8.10 must address all three areas: (1) specific measures ensuring workers can take sick leave (naming at least one: paid sick leave, flexible sick leave, workload management/back-up coverage, return-to-work protocols, or remote/hybrid options); (2) policies ensuring workers won’t be penalised for absences beyond local legal requirements; (3) whether measures apply to workers who are self-isolating or quarantining. Q8.10a must select all applicable worker categories from the d</w:t>
            </w:r>
            <w:r>
              <w:rPr>
                <w:color w:val="1A1A1A"/>
                <w:sz w:val="18"/>
                <w:szCs w:val="18"/>
              </w:rPr>
              <w:t>ropdown. Q8.10c must describe whether the company offers flexible alternatives to medical certification and whether these apply equally to all employees. If Q8.9 = Yes: Q8.9a must select 5 or more programme categories from the dropdown. Not Yet sub-areas (Q8.9b) cannot contribute to score 5.</w:t>
            </w:r>
          </w:p>
        </w:tc>
        <w:tc>
          <w:tcPr>
            <w:tcW w:w="278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70D8B9A6" w14:textId="77777777" w:rsidR="00BE0DA2" w:rsidRDefault="008A7013">
            <w:pPr>
              <w:spacing w:before="20" w:after="20"/>
            </w:pPr>
            <w:r>
              <w:rPr>
                <w:i/>
                <w:iCs/>
                <w:color w:val="1A1A1A"/>
                <w:sz w:val="17"/>
                <w:szCs w:val="17"/>
              </w:rPr>
              <w:t>Highest level achieved. Maintain comprehensive sick leave governance and continue broadening wellbeing programme offerings.</w:t>
            </w:r>
          </w:p>
        </w:tc>
      </w:tr>
      <w:tr w:rsidR="00BE0DA2" w14:paraId="70D8B9AE"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70D8B9A8" w14:textId="77777777" w:rsidR="00BE0DA2" w:rsidRDefault="008A7013">
            <w:pPr>
              <w:spacing w:before="20" w:after="20"/>
              <w:jc w:val="center"/>
            </w:pPr>
            <w:r>
              <w:rPr>
                <w:b/>
                <w:bCs/>
                <w:color w:val="1A1A1A"/>
                <w:sz w:val="17"/>
                <w:szCs w:val="17"/>
              </w:rPr>
              <w:t>21</w:t>
            </w:r>
          </w:p>
        </w:tc>
        <w:tc>
          <w:tcPr>
            <w:tcW w:w="12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70D8B9A9" w14:textId="77777777" w:rsidR="00BE0DA2" w:rsidRDefault="008A7013">
            <w:pPr>
              <w:spacing w:before="20" w:after="20"/>
            </w:pPr>
            <w:r>
              <w:rPr>
                <w:b/>
                <w:bCs/>
                <w:color w:val="ED7D31"/>
                <w:sz w:val="17"/>
                <w:szCs w:val="17"/>
              </w:rPr>
              <w:t>Action</w:t>
            </w:r>
          </w:p>
        </w:tc>
        <w:tc>
          <w:tcPr>
            <w:tcW w:w="5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70D8B9AA" w14:textId="77777777" w:rsidR="00BE0DA2" w:rsidRDefault="008A7013">
            <w:pPr>
              <w:spacing w:before="20" w:after="20"/>
              <w:jc w:val="center"/>
            </w:pPr>
            <w:r>
              <w:rPr>
                <w:b/>
                <w:bCs/>
                <w:color w:val="1A1A1A"/>
                <w:sz w:val="19"/>
                <w:szCs w:val="19"/>
              </w:rPr>
              <w:t>0</w:t>
            </w:r>
          </w:p>
        </w:tc>
        <w:tc>
          <w:tcPr>
            <w:tcW w:w="12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70D8B9AB" w14:textId="77777777" w:rsidR="00BE0DA2" w:rsidRDefault="008A7013">
            <w:pPr>
              <w:spacing w:before="20" w:after="20"/>
            </w:pPr>
            <w:r>
              <w:rPr>
                <w:i/>
                <w:iCs/>
                <w:color w:val="1A1A1A"/>
                <w:sz w:val="17"/>
                <w:szCs w:val="17"/>
              </w:rPr>
              <w:t>No Action</w:t>
            </w:r>
          </w:p>
        </w:tc>
        <w:tc>
          <w:tcPr>
            <w:tcW w:w="38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70D8B9AC" w14:textId="77777777" w:rsidR="00BE0DA2" w:rsidRDefault="008A7013">
            <w:pPr>
              <w:spacing w:before="20" w:after="20"/>
            </w:pPr>
            <w:r>
              <w:rPr>
                <w:color w:val="1A1A1A"/>
                <w:sz w:val="18"/>
                <w:szCs w:val="18"/>
              </w:rPr>
              <w:t xml:space="preserve">Q8.9a outcome text is blank OR the company is on the Not Yet path (Q8.9 = Not Yet, Action = 0 by definition). If Q8.9 = Yes but the text box in Q8.9a is blank, Action = 0 regardless of dropdown completeness — the dropdown is </w:t>
            </w:r>
            <w:r>
              <w:rPr>
                <w:color w:val="1A1A1A"/>
                <w:sz w:val="18"/>
                <w:szCs w:val="18"/>
              </w:rPr>
              <w:lastRenderedPageBreak/>
              <w:t>Approach evidence; the text box is Action evidence.</w:t>
            </w:r>
          </w:p>
        </w:tc>
        <w:tc>
          <w:tcPr>
            <w:tcW w:w="278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70D8B9AD" w14:textId="77777777" w:rsidR="00BE0DA2" w:rsidRDefault="008A7013">
            <w:pPr>
              <w:spacing w:before="20" w:after="20"/>
            </w:pPr>
            <w:r>
              <w:rPr>
                <w:i/>
                <w:iCs/>
                <w:color w:val="1A1A1A"/>
                <w:sz w:val="17"/>
                <w:szCs w:val="17"/>
              </w:rPr>
              <w:lastRenderedPageBreak/>
              <w:t>If Q8.9 = Yes: in Q8.9a’s text box, describe the outcome of at least one wellbeing programme or action. The guidance asks for one named outcome with an example to evidence it.</w:t>
            </w:r>
          </w:p>
        </w:tc>
      </w:tr>
      <w:tr w:rsidR="00BE0DA2" w14:paraId="70D8B9B5"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70D8B9AF" w14:textId="77777777" w:rsidR="00BE0DA2" w:rsidRDefault="008A7013">
            <w:pPr>
              <w:spacing w:before="20" w:after="20"/>
              <w:jc w:val="center"/>
            </w:pPr>
            <w:r>
              <w:rPr>
                <w:b/>
                <w:bCs/>
                <w:color w:val="1A1A1A"/>
                <w:sz w:val="17"/>
                <w:szCs w:val="17"/>
              </w:rPr>
              <w:t>21</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70D8B9B0" w14:textId="77777777" w:rsidR="00BE0DA2" w:rsidRDefault="008A7013">
            <w:pPr>
              <w:spacing w:before="20" w:after="20"/>
            </w:pPr>
            <w:r>
              <w:rPr>
                <w:b/>
                <w:bCs/>
                <w:color w:val="ED7D31"/>
                <w:sz w:val="17"/>
                <w:szCs w:val="17"/>
              </w:rPr>
              <w:t>Action</w:t>
            </w:r>
          </w:p>
        </w:tc>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70D8B9B1" w14:textId="77777777" w:rsidR="00BE0DA2" w:rsidRDefault="008A7013">
            <w:pPr>
              <w:spacing w:before="20" w:after="20"/>
              <w:jc w:val="center"/>
            </w:pPr>
            <w:r>
              <w:rPr>
                <w:b/>
                <w:bCs/>
                <w:color w:val="1A1A1A"/>
                <w:sz w:val="19"/>
                <w:szCs w:val="19"/>
              </w:rPr>
              <w:t>1</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70D8B9B2" w14:textId="77777777" w:rsidR="00BE0DA2" w:rsidRDefault="008A7013">
            <w:pPr>
              <w:spacing w:before="20" w:after="20"/>
            </w:pPr>
            <w:r>
              <w:rPr>
                <w:i/>
                <w:iCs/>
                <w:color w:val="1A1A1A"/>
                <w:sz w:val="17"/>
                <w:szCs w:val="17"/>
              </w:rPr>
              <w:t>Minimal Action</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70D8B9B3" w14:textId="77777777" w:rsidR="00BE0DA2" w:rsidRDefault="008A7013">
            <w:pPr>
              <w:spacing w:before="20" w:after="20"/>
            </w:pPr>
            <w:r>
              <w:rPr>
                <w:color w:val="1A1A1A"/>
                <w:sz w:val="18"/>
                <w:szCs w:val="18"/>
              </w:rPr>
              <w:t>Q8.9 = Yes AND Q8.9a text describes a wellbeing programme outcome (e.g., ‘our EAP has been well-received’ or ‘sickness absence rates have improved’) but without providing a specific example or data point to evidence the outcome. The outcome is stated but not demonstrated.</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70D8B9B4" w14:textId="77777777" w:rsidR="00BE0DA2" w:rsidRDefault="008A7013">
            <w:pPr>
              <w:spacing w:before="20" w:after="20"/>
            </w:pPr>
            <w:r>
              <w:rPr>
                <w:i/>
                <w:iCs/>
                <w:color w:val="1A1A1A"/>
                <w:sz w:val="17"/>
                <w:szCs w:val="17"/>
              </w:rPr>
              <w:t>Add a specific example or data point to evidence the outcome: name a figure (e.g., ‘absence rates fell from 4.2% to 3.1%’), a case study, or an uptake rate. State which geography or business activity the evidence relates to.</w:t>
            </w:r>
          </w:p>
        </w:tc>
      </w:tr>
      <w:tr w:rsidR="00BE0DA2" w14:paraId="70D8B9BC"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70D8B9B6" w14:textId="77777777" w:rsidR="00BE0DA2" w:rsidRDefault="008A7013">
            <w:pPr>
              <w:spacing w:before="20" w:after="20"/>
              <w:jc w:val="center"/>
            </w:pPr>
            <w:r>
              <w:rPr>
                <w:b/>
                <w:bCs/>
                <w:color w:val="1A1A1A"/>
                <w:sz w:val="17"/>
                <w:szCs w:val="17"/>
              </w:rPr>
              <w:t>21</w:t>
            </w:r>
          </w:p>
        </w:tc>
        <w:tc>
          <w:tcPr>
            <w:tcW w:w="12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70D8B9B7" w14:textId="77777777" w:rsidR="00BE0DA2" w:rsidRDefault="008A7013">
            <w:pPr>
              <w:spacing w:before="20" w:after="20"/>
            </w:pPr>
            <w:r>
              <w:rPr>
                <w:b/>
                <w:bCs/>
                <w:color w:val="ED7D31"/>
                <w:sz w:val="17"/>
                <w:szCs w:val="17"/>
              </w:rPr>
              <w:t>Action</w:t>
            </w:r>
          </w:p>
        </w:tc>
        <w:tc>
          <w:tcPr>
            <w:tcW w:w="5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70D8B9B8" w14:textId="77777777" w:rsidR="00BE0DA2" w:rsidRDefault="008A7013">
            <w:pPr>
              <w:spacing w:before="20" w:after="20"/>
              <w:jc w:val="center"/>
            </w:pPr>
            <w:r>
              <w:rPr>
                <w:b/>
                <w:bCs/>
                <w:color w:val="1A1A1A"/>
                <w:sz w:val="19"/>
                <w:szCs w:val="19"/>
              </w:rPr>
              <w:t>3</w:t>
            </w:r>
          </w:p>
        </w:tc>
        <w:tc>
          <w:tcPr>
            <w:tcW w:w="12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70D8B9B9" w14:textId="77777777" w:rsidR="00BE0DA2" w:rsidRDefault="008A7013">
            <w:pPr>
              <w:spacing w:before="20" w:after="20"/>
            </w:pPr>
            <w:r>
              <w:rPr>
                <w:i/>
                <w:iCs/>
                <w:color w:val="1A1A1A"/>
                <w:sz w:val="17"/>
                <w:szCs w:val="17"/>
              </w:rPr>
              <w:t>Adequate Action</w:t>
            </w:r>
          </w:p>
        </w:tc>
        <w:tc>
          <w:tcPr>
            <w:tcW w:w="38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70D8B9BA" w14:textId="77777777" w:rsidR="00BE0DA2" w:rsidRDefault="008A7013">
            <w:pPr>
              <w:spacing w:before="20" w:after="20"/>
            </w:pPr>
            <w:r>
              <w:rPr>
                <w:color w:val="1A1A1A"/>
                <w:sz w:val="18"/>
                <w:szCs w:val="18"/>
              </w:rPr>
              <w:t>Q8.9 = Yes AND Q8.9a text names a specific outcome type from the guidance (increased morale/engagement, lower sickness/absence rates, improved return-to-work rates, increased productivity, uptake of alternative working patterns, or worker wellbeing case study) AND provides an example or data point evidencing the outcome. However, the geographic or business scope of the outcome is not stated.</w:t>
            </w:r>
          </w:p>
        </w:tc>
        <w:tc>
          <w:tcPr>
            <w:tcW w:w="278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70D8B9BB" w14:textId="77777777" w:rsidR="00BE0DA2" w:rsidRDefault="008A7013">
            <w:pPr>
              <w:spacing w:before="20" w:after="20"/>
            </w:pPr>
            <w:r>
              <w:rPr>
                <w:i/>
                <w:iCs/>
                <w:color w:val="1A1A1A"/>
                <w:sz w:val="17"/>
                <w:szCs w:val="17"/>
              </w:rPr>
              <w:t>Add the geographic or business scope to which the evidenced outcome relates (e.g., ‘across UK operations’, ‘at our three manufacturing sites’, or ‘globally’). This is specifically requested in the guidance and is required for score 5.</w:t>
            </w:r>
          </w:p>
        </w:tc>
      </w:tr>
      <w:tr w:rsidR="00BE0DA2" w14:paraId="70D8B9C3"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70D8B9BD" w14:textId="77777777" w:rsidR="00BE0DA2" w:rsidRDefault="008A7013">
            <w:pPr>
              <w:spacing w:before="20" w:after="20"/>
              <w:jc w:val="center"/>
            </w:pPr>
            <w:r>
              <w:rPr>
                <w:b/>
                <w:bCs/>
                <w:color w:val="1A1A1A"/>
                <w:sz w:val="17"/>
                <w:szCs w:val="17"/>
              </w:rPr>
              <w:t>21</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70D8B9BE" w14:textId="77777777" w:rsidR="00BE0DA2" w:rsidRDefault="008A7013">
            <w:pPr>
              <w:spacing w:before="20" w:after="20"/>
            </w:pPr>
            <w:r>
              <w:rPr>
                <w:b/>
                <w:bCs/>
                <w:color w:val="ED7D31"/>
                <w:sz w:val="17"/>
                <w:szCs w:val="17"/>
              </w:rPr>
              <w:t>Action</w:t>
            </w:r>
          </w:p>
        </w:tc>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70D8B9BF" w14:textId="77777777" w:rsidR="00BE0DA2" w:rsidRDefault="008A7013">
            <w:pPr>
              <w:spacing w:before="20" w:after="20"/>
              <w:jc w:val="center"/>
            </w:pPr>
            <w:r>
              <w:rPr>
                <w:b/>
                <w:bCs/>
                <w:color w:val="1A1A1A"/>
                <w:sz w:val="19"/>
                <w:szCs w:val="19"/>
              </w:rPr>
              <w:t>5</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70D8B9C0" w14:textId="77777777" w:rsidR="00BE0DA2" w:rsidRDefault="008A7013">
            <w:pPr>
              <w:spacing w:before="20" w:after="20"/>
            </w:pPr>
            <w:r>
              <w:rPr>
                <w:i/>
                <w:iCs/>
                <w:color w:val="1A1A1A"/>
                <w:sz w:val="17"/>
                <w:szCs w:val="17"/>
              </w:rPr>
              <w:t>Leading Action</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70D8B9C1" w14:textId="77777777" w:rsidR="00BE0DA2" w:rsidRDefault="008A7013">
            <w:pPr>
              <w:spacing w:before="20" w:after="20"/>
            </w:pPr>
            <w:r>
              <w:rPr>
                <w:color w:val="1A1A1A"/>
                <w:sz w:val="18"/>
                <w:szCs w:val="18"/>
              </w:rPr>
              <w:t>Q8.9 = Yes AND Q8.9a text provides all three required elements: (1) a named outcome type from the guidance (e.g., lower sickness absence rate, improved return-to-work rate, increased uptake of flexible working, or a worker wellbeing case study); (2) a specific example or data point evidencing that outcome (a figure, a case study, or a measurable uptake rate); AND (3) the geographic or business scope to which the outcome relates (which locations, business lines, or workforce groups are covered by this eviden</w:t>
            </w:r>
            <w:r>
              <w:rPr>
                <w:color w:val="1A1A1A"/>
                <w:sz w:val="18"/>
                <w:szCs w:val="18"/>
              </w:rPr>
              <w:t>ce).</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70D8B9C2" w14:textId="77777777" w:rsidR="00BE0DA2" w:rsidRDefault="008A7013">
            <w:pPr>
              <w:spacing w:before="20" w:after="20"/>
            </w:pPr>
            <w:r>
              <w:rPr>
                <w:i/>
                <w:iCs/>
                <w:color w:val="1A1A1A"/>
                <w:sz w:val="17"/>
                <w:szCs w:val="17"/>
              </w:rPr>
              <w:t>Highest level achieved. Continue documenting wellbeing programme outcomes annually with updated evidence and scope information.</w:t>
            </w:r>
          </w:p>
        </w:tc>
      </w:tr>
    </w:tbl>
    <w:p w14:paraId="70D8B9C4" w14:textId="77777777" w:rsidR="00BE0DA2" w:rsidRDefault="00BE0DA2">
      <w:pPr>
        <w:pBdr>
          <w:bottom w:val="single" w:sz="4" w:space="1" w:color="D9D9D9"/>
        </w:pBdr>
        <w:spacing w:before="240" w:after="240"/>
      </w:pPr>
    </w:p>
    <w:p w14:paraId="70D8B9C5" w14:textId="77777777" w:rsidR="00BE0DA2" w:rsidRDefault="008A7013">
      <w:pPr>
        <w:pStyle w:val="Heading1"/>
        <w:spacing w:before="360" w:after="160"/>
      </w:pPr>
      <w:r>
        <w:rPr>
          <w:b/>
          <w:bCs/>
          <w:color w:val="1F3864"/>
          <w:sz w:val="34"/>
          <w:szCs w:val="34"/>
        </w:rPr>
        <w:t>4. Score Calculation</w:t>
      </w:r>
    </w:p>
    <w:p w14:paraId="70D8B9C6" w14:textId="77777777" w:rsidR="00BE0DA2" w:rsidRDefault="008A7013">
      <w:pPr>
        <w:spacing w:before="80" w:after="80"/>
      </w:pPr>
      <w:r>
        <w:rPr>
          <w:color w:val="1A1A1A"/>
        </w:rPr>
        <w:t>Once Awareness, Approach, and Action sub-scores are assigned, the composite topic score is calculated using equal weighting across the three dimensions.</w:t>
      </w:r>
    </w:p>
    <w:p w14:paraId="70D8B9C7" w14:textId="77777777" w:rsidR="00BE0DA2" w:rsidRDefault="008A7013">
      <w:pPr>
        <w:pStyle w:val="Heading2"/>
        <w:spacing w:before="280" w:after="120"/>
      </w:pPr>
      <w:proofErr w:type="gramStart"/>
      <w:r>
        <w:rPr>
          <w:b/>
          <w:bCs/>
          <w:color w:val="2E75B6"/>
        </w:rPr>
        <w:t>4.1  Formulas</w:t>
      </w:r>
      <w:proofErr w:type="gramEnd"/>
    </w:p>
    <w:p w14:paraId="70D8B9C8" w14:textId="77777777" w:rsidR="00BE0DA2" w:rsidRDefault="008A7013">
      <w:pPr>
        <w:pBdr>
          <w:top w:val="single" w:sz="4" w:space="4" w:color="2E75B6"/>
          <w:left w:val="single" w:sz="4" w:space="8" w:color="2E75B6"/>
          <w:bottom w:val="single" w:sz="4" w:space="4" w:color="2E75B6"/>
          <w:right w:val="single" w:sz="4" w:space="8" w:color="2E75B6"/>
        </w:pBdr>
        <w:shd w:val="clear" w:color="auto" w:fill="DEEAF1"/>
        <w:spacing w:before="120" w:after="120"/>
        <w:jc w:val="center"/>
      </w:pPr>
      <w:r>
        <w:rPr>
          <w:rFonts w:ascii="Courier New" w:eastAsia="Courier New" w:hAnsi="Courier New" w:cs="Courier New"/>
          <w:b/>
          <w:bCs/>
          <w:color w:val="1F3864"/>
        </w:rPr>
        <w:t>Composite (0–5)   =</w:t>
      </w:r>
      <w:proofErr w:type="gramStart"/>
      <w:r>
        <w:rPr>
          <w:rFonts w:ascii="Courier New" w:eastAsia="Courier New" w:hAnsi="Courier New" w:cs="Courier New"/>
          <w:b/>
          <w:bCs/>
          <w:color w:val="1F3864"/>
        </w:rPr>
        <w:t xml:space="preserve">   (Awareness  +</w:t>
      </w:r>
      <w:proofErr w:type="gramEnd"/>
      <w:r>
        <w:rPr>
          <w:rFonts w:ascii="Courier New" w:eastAsia="Courier New" w:hAnsi="Courier New" w:cs="Courier New"/>
          <w:b/>
          <w:bCs/>
          <w:color w:val="1F3864"/>
        </w:rPr>
        <w:t xml:space="preserve">  </w:t>
      </w:r>
      <w:proofErr w:type="gramStart"/>
      <w:r>
        <w:rPr>
          <w:rFonts w:ascii="Courier New" w:eastAsia="Courier New" w:hAnsi="Courier New" w:cs="Courier New"/>
          <w:b/>
          <w:bCs/>
          <w:color w:val="1F3864"/>
        </w:rPr>
        <w:t>Approach  +</w:t>
      </w:r>
      <w:proofErr w:type="gramEnd"/>
      <w:r>
        <w:rPr>
          <w:rFonts w:ascii="Courier New" w:eastAsia="Courier New" w:hAnsi="Courier New" w:cs="Courier New"/>
          <w:b/>
          <w:bCs/>
          <w:color w:val="1F3864"/>
        </w:rPr>
        <w:t xml:space="preserve">  </w:t>
      </w:r>
      <w:proofErr w:type="gramStart"/>
      <w:r>
        <w:rPr>
          <w:rFonts w:ascii="Courier New" w:eastAsia="Courier New" w:hAnsi="Courier New" w:cs="Courier New"/>
          <w:b/>
          <w:bCs/>
          <w:color w:val="1F3864"/>
        </w:rPr>
        <w:t>Action)  ÷</w:t>
      </w:r>
      <w:proofErr w:type="gramEnd"/>
      <w:r>
        <w:rPr>
          <w:rFonts w:ascii="Courier New" w:eastAsia="Courier New" w:hAnsi="Courier New" w:cs="Courier New"/>
          <w:b/>
          <w:bCs/>
          <w:color w:val="1F3864"/>
        </w:rPr>
        <w:t xml:space="preserve">  3</w:t>
      </w:r>
    </w:p>
    <w:p w14:paraId="70D8B9C9" w14:textId="77777777" w:rsidR="00BE0DA2" w:rsidRDefault="008A7013">
      <w:pPr>
        <w:pBdr>
          <w:top w:val="single" w:sz="4" w:space="4" w:color="2E75B6"/>
          <w:left w:val="single" w:sz="4" w:space="8" w:color="2E75B6"/>
          <w:bottom w:val="single" w:sz="4" w:space="4" w:color="2E75B6"/>
          <w:right w:val="single" w:sz="4" w:space="8" w:color="2E75B6"/>
        </w:pBdr>
        <w:shd w:val="clear" w:color="auto" w:fill="DEEAF1"/>
        <w:spacing w:before="120" w:after="120"/>
        <w:jc w:val="center"/>
      </w:pPr>
      <w:r>
        <w:rPr>
          <w:rFonts w:ascii="Courier New" w:eastAsia="Courier New" w:hAnsi="Courier New" w:cs="Courier New"/>
          <w:b/>
          <w:bCs/>
          <w:color w:val="1F3864"/>
        </w:rPr>
        <w:t>Topic Score (0–100)   =   Composite (0–5</w:t>
      </w:r>
      <w:proofErr w:type="gramStart"/>
      <w:r>
        <w:rPr>
          <w:rFonts w:ascii="Courier New" w:eastAsia="Courier New" w:hAnsi="Courier New" w:cs="Courier New"/>
          <w:b/>
          <w:bCs/>
          <w:color w:val="1F3864"/>
        </w:rPr>
        <w:t>)  ×</w:t>
      </w:r>
      <w:proofErr w:type="gramEnd"/>
      <w:r>
        <w:rPr>
          <w:rFonts w:ascii="Courier New" w:eastAsia="Courier New" w:hAnsi="Courier New" w:cs="Courier New"/>
          <w:b/>
          <w:bCs/>
          <w:color w:val="1F3864"/>
        </w:rPr>
        <w:t xml:space="preserve">  20</w:t>
      </w:r>
    </w:p>
    <w:p w14:paraId="70D8B9CA" w14:textId="77777777" w:rsidR="00BE0DA2" w:rsidRDefault="008A7013">
      <w:pPr>
        <w:spacing w:before="80" w:after="60"/>
      </w:pPr>
      <w:r>
        <w:rPr>
          <w:i/>
          <w:iCs/>
          <w:color w:val="666666"/>
          <w:sz w:val="17"/>
          <w:szCs w:val="17"/>
        </w:rPr>
        <w:t>All reported topic scores are on the 0–100 scale. Each dimension carries equal weight (33.3%). For companies on the Not Yet path at Q8.9: Awareness ≤ 3 (capped), Action = 0, but Approach can score normally via always-applicable Q8.10 sub-questions. Maximum composite for a Not Yet company with strong Q8.10: (3 + 5 + 0) ÷ 3 = 2.67 → 53/100.</w:t>
      </w:r>
    </w:p>
    <w:p w14:paraId="70D8B9CB" w14:textId="77777777" w:rsidR="00BE0DA2" w:rsidRDefault="008A7013">
      <w:pPr>
        <w:pStyle w:val="Heading2"/>
        <w:spacing w:before="280" w:after="120"/>
      </w:pPr>
      <w:proofErr w:type="gramStart"/>
      <w:r>
        <w:rPr>
          <w:b/>
          <w:bCs/>
          <w:color w:val="2E75B6"/>
        </w:rPr>
        <w:t>4.2  Worked</w:t>
      </w:r>
      <w:proofErr w:type="gramEnd"/>
      <w:r>
        <w:rPr>
          <w:b/>
          <w:bCs/>
          <w:color w:val="2E75B6"/>
        </w:rPr>
        <w:t xml:space="preserve"> Examples</w:t>
      </w:r>
    </w:p>
    <w:p w14:paraId="70D8B9CC" w14:textId="77777777" w:rsidR="00BE0DA2" w:rsidRDefault="008A7013">
      <w:pPr>
        <w:spacing w:before="80" w:after="80"/>
      </w:pPr>
      <w:r>
        <w:rPr>
          <w:b/>
          <w:bCs/>
          <w:color w:val="2E75B6"/>
        </w:rPr>
        <w:t xml:space="preserve">Example A: </w:t>
      </w:r>
      <w:proofErr w:type="gramStart"/>
      <w:r>
        <w:rPr>
          <w:b/>
          <w:bCs/>
          <w:color w:val="2E75B6"/>
        </w:rPr>
        <w:t>Yes</w:t>
      </w:r>
      <w:proofErr w:type="gramEnd"/>
      <w:r>
        <w:rPr>
          <w:b/>
          <w:bCs/>
          <w:color w:val="2E75B6"/>
        </w:rPr>
        <w:t xml:space="preserve"> on wellbeing programme, comprehensive sick leave policy</w:t>
      </w:r>
    </w:p>
    <w:p w14:paraId="70D8B9CD" w14:textId="77777777" w:rsidR="00BE0DA2" w:rsidRDefault="008A7013">
      <w:pPr>
        <w:spacing w:before="80" w:after="80"/>
      </w:pPr>
      <w:r>
        <w:rPr>
          <w:color w:val="1A1A1A"/>
          <w:sz w:val="19"/>
          <w:szCs w:val="19"/>
        </w:rPr>
        <w:lastRenderedPageBreak/>
        <w:t xml:space="preserve">Q8.9: Yes. Q8.9a: Categories selected: Mental health and wellbeing support (EAP/counselling), Occupational health/return-to-work support, Fitness/physical wellbeing, Family support and caregiving assistance, Workplace adjustments and accessibility support, Flexible/hybrid working wellbeing support (6 of 9 categories). Text: “In 2024 we redesigned our EAP to offer same-day access to counselling. Result: EAP utilisation increased from 4% to 11% of employees in 12 months (a 175% increase); counselling session </w:t>
      </w:r>
      <w:r>
        <w:rPr>
          <w:color w:val="1A1A1A"/>
          <w:sz w:val="19"/>
          <w:szCs w:val="19"/>
        </w:rPr>
        <w:t>satisfaction score averaged 4.3/5. These outcomes relate to our global direct employee population (6,800 employees across UK, Germany, and Singapore).”</w:t>
      </w:r>
    </w:p>
    <w:p w14:paraId="70D8B9CE" w14:textId="77777777" w:rsidR="00BE0DA2" w:rsidRDefault="008A7013">
      <w:pPr>
        <w:spacing w:before="80" w:after="80"/>
      </w:pPr>
      <w:r>
        <w:rPr>
          <w:color w:val="1A1A1A"/>
          <w:sz w:val="19"/>
          <w:szCs w:val="19"/>
        </w:rPr>
        <w:t xml:space="preserve">Q8.10: “All permanent and fixed-term employees receive 10 days fully paid sick leave per year, with up to 20 additional days at 80% pay. Line managers are trained to manage workload redistribution for planned and unplanned absences (pre-arranged back-up coverage). Our sick leave policy explicitly states that no employee will be subject to disciplinary action solely </w:t>
      </w:r>
      <w:proofErr w:type="gramStart"/>
      <w:r>
        <w:rPr>
          <w:color w:val="1A1A1A"/>
          <w:sz w:val="19"/>
          <w:szCs w:val="19"/>
        </w:rPr>
        <w:t>as a result of</w:t>
      </w:r>
      <w:proofErr w:type="gramEnd"/>
      <w:r>
        <w:rPr>
          <w:color w:val="1A1A1A"/>
          <w:sz w:val="19"/>
          <w:szCs w:val="19"/>
        </w:rPr>
        <w:t xml:space="preserve"> genuine sickness absence, regardless of the number of episodes (going beyond the UK SSP minimum). Measures apply to workers required to self-isolate or quarantine under public health guidance, who receive the same sick leave entitlement.” Q8.10a: Indefinite/permanent AND </w:t>
      </w:r>
      <w:proofErr w:type="gramStart"/>
      <w:r>
        <w:rPr>
          <w:color w:val="1A1A1A"/>
          <w:sz w:val="19"/>
          <w:szCs w:val="19"/>
        </w:rPr>
        <w:t>Fixed-term</w:t>
      </w:r>
      <w:proofErr w:type="gramEnd"/>
      <w:r>
        <w:rPr>
          <w:color w:val="1A1A1A"/>
          <w:sz w:val="19"/>
          <w:szCs w:val="19"/>
        </w:rPr>
        <w:t>/temporary selected. Q8.10b: No (medical note not required for short-term minor illnesses). Q8.10c: “Employees are entitled to 5 personal leave days per year that do not require a medical certificate — usable for sh</w:t>
      </w:r>
      <w:r>
        <w:rPr>
          <w:color w:val="1A1A1A"/>
          <w:sz w:val="19"/>
          <w:szCs w:val="19"/>
        </w:rPr>
        <w:t>ort-term illness, family emergencies, or personal matters. These apply equally to all permanent and fixed-term employees. We introduced this policy in 2023 following internal feedback that GP appointment delays were causing employees to work while unwell.”</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016"/>
        <w:gridCol w:w="5040"/>
        <w:gridCol w:w="3024"/>
      </w:tblGrid>
      <w:tr w:rsidR="00BE0DA2" w14:paraId="70D8B9D2" w14:textId="77777777">
        <w:tblPrEx>
          <w:tblCellMar>
            <w:top w:w="0" w:type="dxa"/>
            <w:bottom w:w="0" w:type="dxa"/>
          </w:tblCellMar>
        </w:tblPrEx>
        <w:trPr>
          <w:tblHeader/>
        </w:trPr>
        <w:tc>
          <w:tcPr>
            <w:tcW w:w="2016"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70D8B9CF" w14:textId="77777777" w:rsidR="00BE0DA2" w:rsidRDefault="008A7013">
            <w:pPr>
              <w:jc w:val="center"/>
            </w:pPr>
            <w:r>
              <w:rPr>
                <w:b/>
                <w:bCs/>
                <w:color w:val="FFFFFF"/>
                <w:sz w:val="16"/>
                <w:szCs w:val="16"/>
              </w:rPr>
              <w:t>Dimension</w:t>
            </w:r>
          </w:p>
        </w:tc>
        <w:tc>
          <w:tcPr>
            <w:tcW w:w="504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70D8B9D0" w14:textId="77777777" w:rsidR="00BE0DA2" w:rsidRDefault="008A7013">
            <w:pPr>
              <w:jc w:val="center"/>
            </w:pPr>
            <w:r>
              <w:rPr>
                <w:b/>
                <w:bCs/>
                <w:color w:val="FFFFFF"/>
                <w:sz w:val="16"/>
                <w:szCs w:val="16"/>
              </w:rPr>
              <w:t>Score &amp; Rationale</w:t>
            </w:r>
          </w:p>
        </w:tc>
        <w:tc>
          <w:tcPr>
            <w:tcW w:w="3024"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70D8B9D1" w14:textId="77777777" w:rsidR="00BE0DA2" w:rsidRDefault="008A7013">
            <w:pPr>
              <w:jc w:val="center"/>
            </w:pPr>
            <w:r>
              <w:rPr>
                <w:b/>
                <w:bCs/>
                <w:color w:val="FFFFFF"/>
                <w:sz w:val="16"/>
                <w:szCs w:val="16"/>
              </w:rPr>
              <w:t>Calculation</w:t>
            </w:r>
          </w:p>
        </w:tc>
      </w:tr>
      <w:tr w:rsidR="00BE0DA2" w14:paraId="70D8B9D6"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70D8B9D3" w14:textId="77777777" w:rsidR="00BE0DA2" w:rsidRDefault="008A7013">
            <w:pPr>
              <w:spacing w:before="20" w:after="20"/>
            </w:pPr>
            <w:r>
              <w:rPr>
                <w:b/>
                <w:bCs/>
                <w:color w:val="2E75B6"/>
                <w:sz w:val="19"/>
                <w:szCs w:val="19"/>
              </w:rPr>
              <w:t>Awareness</w:t>
            </w:r>
          </w:p>
        </w:tc>
        <w:tc>
          <w:tcPr>
            <w:tcW w:w="504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70D8B9D4" w14:textId="77777777" w:rsidR="00BE0DA2" w:rsidRDefault="008A7013">
            <w:pPr>
              <w:spacing w:before="20" w:after="20"/>
            </w:pPr>
            <w:r>
              <w:rPr>
                <w:color w:val="1A1A1A"/>
                <w:sz w:val="18"/>
                <w:szCs w:val="18"/>
              </w:rPr>
              <w:t>5 (Leading) — Q8.9 = Yes. Full recognition that a wellbeing programme exists.</w:t>
            </w:r>
          </w:p>
        </w:tc>
        <w:tc>
          <w:tcPr>
            <w:tcW w:w="3024"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70D8B9D5" w14:textId="77777777" w:rsidR="00BE0DA2" w:rsidRDefault="00BE0DA2">
            <w:pPr>
              <w:spacing w:before="20" w:after="20"/>
            </w:pPr>
          </w:p>
        </w:tc>
      </w:tr>
      <w:tr w:rsidR="00BE0DA2" w14:paraId="70D8B9DA"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70D8B9D7" w14:textId="77777777" w:rsidR="00BE0DA2" w:rsidRDefault="008A7013">
            <w:pPr>
              <w:spacing w:before="20" w:after="20"/>
            </w:pPr>
            <w:r>
              <w:rPr>
                <w:b/>
                <w:bCs/>
                <w:color w:val="70AD47"/>
                <w:sz w:val="19"/>
                <w:szCs w:val="19"/>
              </w:rPr>
              <w:t>Approach</w:t>
            </w:r>
          </w:p>
        </w:tc>
        <w:tc>
          <w:tcPr>
            <w:tcW w:w="504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70D8B9D8" w14:textId="77777777" w:rsidR="00BE0DA2" w:rsidRDefault="008A7013">
            <w:pPr>
              <w:spacing w:before="20" w:after="20"/>
            </w:pPr>
            <w:r>
              <w:rPr>
                <w:color w:val="1A1A1A"/>
                <w:sz w:val="18"/>
                <w:szCs w:val="18"/>
              </w:rPr>
              <w:t xml:space="preserve">5 (Leading) — AND satisfied: Q8.9a selects 6 of 9 categories (≥5). Q8.10 addresses all three required areas (paid sick leave + workload management, non-penalisation policy explicitly stated, self-isolation covered). Q8.10a covers permanent and </w:t>
            </w:r>
            <w:proofErr w:type="gramStart"/>
            <w:r>
              <w:rPr>
                <w:color w:val="1A1A1A"/>
                <w:sz w:val="18"/>
                <w:szCs w:val="18"/>
              </w:rPr>
              <w:t>fixed-term</w:t>
            </w:r>
            <w:proofErr w:type="gramEnd"/>
            <w:r>
              <w:rPr>
                <w:color w:val="1A1A1A"/>
                <w:sz w:val="18"/>
                <w:szCs w:val="18"/>
              </w:rPr>
              <w:t>. Q8.10b answered (No). Q8.10c describes 5 personal leave days applying equally to all eligible employees with rationale.</w:t>
            </w:r>
          </w:p>
        </w:tc>
        <w:tc>
          <w:tcPr>
            <w:tcW w:w="3024"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70D8B9D9" w14:textId="77777777" w:rsidR="00BE0DA2" w:rsidRDefault="00BE0DA2">
            <w:pPr>
              <w:spacing w:before="20" w:after="20"/>
            </w:pPr>
          </w:p>
        </w:tc>
      </w:tr>
      <w:tr w:rsidR="00BE0DA2" w14:paraId="70D8B9DE"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70D8B9DB" w14:textId="77777777" w:rsidR="00BE0DA2" w:rsidRDefault="008A7013">
            <w:pPr>
              <w:spacing w:before="20" w:after="20"/>
            </w:pPr>
            <w:r>
              <w:rPr>
                <w:b/>
                <w:bCs/>
                <w:color w:val="ED7D31"/>
                <w:sz w:val="19"/>
                <w:szCs w:val="19"/>
              </w:rPr>
              <w:t>Action</w:t>
            </w:r>
          </w:p>
        </w:tc>
        <w:tc>
          <w:tcPr>
            <w:tcW w:w="504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70D8B9DC" w14:textId="77777777" w:rsidR="00BE0DA2" w:rsidRDefault="008A7013">
            <w:pPr>
              <w:spacing w:before="20" w:after="20"/>
            </w:pPr>
            <w:r>
              <w:rPr>
                <w:color w:val="1A1A1A"/>
                <w:sz w:val="18"/>
                <w:szCs w:val="18"/>
              </w:rPr>
              <w:t>5 (Leading) — All three Action elements present: (1) named outcome type (increased EAP uptake); (2) specific evidence (4% → 11%, 175% increase, satisfaction score 4.3/5); (3) geographic/business scope (global direct employees: 6,800 across UK, Germany, Singapore).</w:t>
            </w:r>
          </w:p>
        </w:tc>
        <w:tc>
          <w:tcPr>
            <w:tcW w:w="3024"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70D8B9DD" w14:textId="77777777" w:rsidR="00BE0DA2" w:rsidRDefault="00BE0DA2">
            <w:pPr>
              <w:spacing w:before="20" w:after="20"/>
            </w:pPr>
          </w:p>
        </w:tc>
      </w:tr>
      <w:tr w:rsidR="00BE0DA2" w14:paraId="70D8B9E2"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70D8B9DF" w14:textId="77777777" w:rsidR="00BE0DA2" w:rsidRDefault="008A7013">
            <w:pPr>
              <w:spacing w:before="20" w:after="20"/>
            </w:pPr>
            <w:r>
              <w:rPr>
                <w:b/>
                <w:bCs/>
                <w:color w:val="1A1A1A"/>
                <w:sz w:val="19"/>
                <w:szCs w:val="19"/>
              </w:rPr>
              <w:t>Composite</w:t>
            </w:r>
          </w:p>
        </w:tc>
        <w:tc>
          <w:tcPr>
            <w:tcW w:w="5040"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70D8B9E0" w14:textId="77777777" w:rsidR="00BE0DA2" w:rsidRDefault="008A7013">
            <w:pPr>
              <w:spacing w:before="20" w:after="20"/>
            </w:pPr>
            <w:r>
              <w:rPr>
                <w:b/>
                <w:bCs/>
                <w:color w:val="1A1A1A"/>
                <w:sz w:val="19"/>
                <w:szCs w:val="19"/>
              </w:rPr>
              <w:t>(5 + 5 + 5) ÷ 3 = 5.00</w:t>
            </w:r>
          </w:p>
        </w:tc>
        <w:tc>
          <w:tcPr>
            <w:tcW w:w="3024"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70D8B9E1" w14:textId="77777777" w:rsidR="00BE0DA2" w:rsidRDefault="008A7013">
            <w:pPr>
              <w:spacing w:before="20" w:after="20"/>
            </w:pPr>
            <w:r>
              <w:rPr>
                <w:b/>
                <w:bCs/>
                <w:color w:val="1A1A1A"/>
                <w:sz w:val="19"/>
                <w:szCs w:val="19"/>
              </w:rPr>
              <w:t>Topic Score = 5.00 × 20 = 100 / 100</w:t>
            </w:r>
          </w:p>
        </w:tc>
      </w:tr>
    </w:tbl>
    <w:p w14:paraId="70D8B9E3" w14:textId="77777777" w:rsidR="00BE0DA2" w:rsidRDefault="008A7013">
      <w:pPr>
        <w:spacing w:before="80" w:after="60"/>
      </w:pPr>
      <w:r>
        <w:rPr>
          <w:i/>
          <w:iCs/>
          <w:color w:val="666666"/>
          <w:sz w:val="17"/>
          <w:szCs w:val="17"/>
        </w:rPr>
        <w:t>Full marks. The Action score is driven by three specific data points in Q8.9a: the utilisation figure, the improvement percentage, and the named geographic scope. Without any one of these, the score would drop.</w:t>
      </w:r>
    </w:p>
    <w:p w14:paraId="70D8B9E4" w14:textId="77777777" w:rsidR="00BE0DA2" w:rsidRDefault="008A7013">
      <w:pPr>
        <w:spacing w:before="240" w:after="80"/>
      </w:pPr>
      <w:r>
        <w:rPr>
          <w:b/>
          <w:bCs/>
          <w:color w:val="2E75B6"/>
        </w:rPr>
        <w:t>Example B: Not Yet on programme, minimal sick leave governance</w:t>
      </w:r>
    </w:p>
    <w:p w14:paraId="70D8B9E5" w14:textId="77777777" w:rsidR="00BE0DA2" w:rsidRDefault="008A7013">
      <w:pPr>
        <w:spacing w:before="80" w:after="80"/>
      </w:pPr>
      <w:r>
        <w:rPr>
          <w:color w:val="1A1A1A"/>
          <w:sz w:val="19"/>
          <w:szCs w:val="19"/>
        </w:rPr>
        <w:t>Q8.9: Not Yet. Q8.9b: “We plan to introduce an EAP by end of 2025.”</w:t>
      </w:r>
    </w:p>
    <w:p w14:paraId="70D8B9E6" w14:textId="77777777" w:rsidR="00BE0DA2" w:rsidRDefault="008A7013">
      <w:pPr>
        <w:spacing w:before="80" w:after="80"/>
      </w:pPr>
      <w:r>
        <w:rPr>
          <w:color w:val="1A1A1A"/>
          <w:sz w:val="19"/>
          <w:szCs w:val="19"/>
        </w:rPr>
        <w:t>Q8.10: “We follow local sick leave requirements.” Q8.10a: Indefinite/permanent only. Q8.10b: Yes (medical note required). Q8.10c: blank.</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016"/>
        <w:gridCol w:w="5040"/>
        <w:gridCol w:w="3024"/>
      </w:tblGrid>
      <w:tr w:rsidR="00BE0DA2" w14:paraId="70D8B9EA" w14:textId="77777777">
        <w:tblPrEx>
          <w:tblCellMar>
            <w:top w:w="0" w:type="dxa"/>
            <w:bottom w:w="0" w:type="dxa"/>
          </w:tblCellMar>
        </w:tblPrEx>
        <w:trPr>
          <w:tblHeader/>
        </w:trPr>
        <w:tc>
          <w:tcPr>
            <w:tcW w:w="2016"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70D8B9E7" w14:textId="77777777" w:rsidR="00BE0DA2" w:rsidRDefault="008A7013">
            <w:pPr>
              <w:jc w:val="center"/>
            </w:pPr>
            <w:r>
              <w:rPr>
                <w:b/>
                <w:bCs/>
                <w:color w:val="FFFFFF"/>
                <w:sz w:val="16"/>
                <w:szCs w:val="16"/>
              </w:rPr>
              <w:t>Dimension</w:t>
            </w:r>
          </w:p>
        </w:tc>
        <w:tc>
          <w:tcPr>
            <w:tcW w:w="504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70D8B9E8" w14:textId="77777777" w:rsidR="00BE0DA2" w:rsidRDefault="008A7013">
            <w:pPr>
              <w:jc w:val="center"/>
            </w:pPr>
            <w:r>
              <w:rPr>
                <w:b/>
                <w:bCs/>
                <w:color w:val="FFFFFF"/>
                <w:sz w:val="16"/>
                <w:szCs w:val="16"/>
              </w:rPr>
              <w:t>Score &amp; Rationale</w:t>
            </w:r>
          </w:p>
        </w:tc>
        <w:tc>
          <w:tcPr>
            <w:tcW w:w="3024"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70D8B9E9" w14:textId="77777777" w:rsidR="00BE0DA2" w:rsidRDefault="008A7013">
            <w:pPr>
              <w:jc w:val="center"/>
            </w:pPr>
            <w:r>
              <w:rPr>
                <w:b/>
                <w:bCs/>
                <w:color w:val="FFFFFF"/>
                <w:sz w:val="16"/>
                <w:szCs w:val="16"/>
              </w:rPr>
              <w:t>Calculation</w:t>
            </w:r>
          </w:p>
        </w:tc>
      </w:tr>
      <w:tr w:rsidR="00BE0DA2" w14:paraId="70D8B9EE"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70D8B9EB" w14:textId="77777777" w:rsidR="00BE0DA2" w:rsidRDefault="008A7013">
            <w:pPr>
              <w:spacing w:before="20" w:after="20"/>
            </w:pPr>
            <w:r>
              <w:rPr>
                <w:b/>
                <w:bCs/>
                <w:color w:val="2E75B6"/>
                <w:sz w:val="19"/>
                <w:szCs w:val="19"/>
              </w:rPr>
              <w:t>Awareness</w:t>
            </w:r>
          </w:p>
        </w:tc>
        <w:tc>
          <w:tcPr>
            <w:tcW w:w="504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70D8B9EC" w14:textId="77777777" w:rsidR="00BE0DA2" w:rsidRDefault="008A7013">
            <w:pPr>
              <w:spacing w:before="20" w:after="20"/>
            </w:pPr>
            <w:r>
              <w:rPr>
                <w:color w:val="1A1A1A"/>
                <w:sz w:val="18"/>
                <w:szCs w:val="18"/>
              </w:rPr>
              <w:t>3 (Adequate) — Q8.9 = Not Yet AND Q8.9b provides a specific timeline (end 2025). Awareness lifted from 1 to 3. Maximum for the Not Yet path.</w:t>
            </w:r>
          </w:p>
        </w:tc>
        <w:tc>
          <w:tcPr>
            <w:tcW w:w="3024"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70D8B9ED" w14:textId="77777777" w:rsidR="00BE0DA2" w:rsidRDefault="00BE0DA2">
            <w:pPr>
              <w:spacing w:before="20" w:after="20"/>
            </w:pPr>
          </w:p>
        </w:tc>
      </w:tr>
      <w:tr w:rsidR="00BE0DA2" w14:paraId="70D8B9F2"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70D8B9EF" w14:textId="77777777" w:rsidR="00BE0DA2" w:rsidRDefault="008A7013">
            <w:pPr>
              <w:spacing w:before="20" w:after="20"/>
            </w:pPr>
            <w:r>
              <w:rPr>
                <w:b/>
                <w:bCs/>
                <w:color w:val="70AD47"/>
                <w:sz w:val="19"/>
                <w:szCs w:val="19"/>
              </w:rPr>
              <w:t>Approach</w:t>
            </w:r>
          </w:p>
        </w:tc>
        <w:tc>
          <w:tcPr>
            <w:tcW w:w="504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70D8B9F0" w14:textId="77777777" w:rsidR="00BE0DA2" w:rsidRDefault="008A7013">
            <w:pPr>
              <w:spacing w:before="20" w:after="20"/>
            </w:pPr>
            <w:r>
              <w:rPr>
                <w:color w:val="1A1A1A"/>
                <w:sz w:val="18"/>
                <w:szCs w:val="18"/>
              </w:rPr>
              <w:t>1 (Minimal) — Q8.10 states only legal compliance without naming any specific measures. Q8.10a covers only permanent employees. Q8.10b answered (Yes, medical note required) but Q8.10c blank. OR: minimal signals exist but Q8.10 is too generic to reach score 2.</w:t>
            </w:r>
          </w:p>
        </w:tc>
        <w:tc>
          <w:tcPr>
            <w:tcW w:w="3024"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70D8B9F1" w14:textId="77777777" w:rsidR="00BE0DA2" w:rsidRDefault="00BE0DA2">
            <w:pPr>
              <w:spacing w:before="20" w:after="20"/>
            </w:pPr>
          </w:p>
        </w:tc>
      </w:tr>
      <w:tr w:rsidR="00BE0DA2" w14:paraId="70D8B9F6"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70D8B9F3" w14:textId="77777777" w:rsidR="00BE0DA2" w:rsidRDefault="008A7013">
            <w:pPr>
              <w:spacing w:before="20" w:after="20"/>
            </w:pPr>
            <w:r>
              <w:rPr>
                <w:b/>
                <w:bCs/>
                <w:color w:val="ED7D31"/>
                <w:sz w:val="19"/>
                <w:szCs w:val="19"/>
              </w:rPr>
              <w:t>Action</w:t>
            </w:r>
          </w:p>
        </w:tc>
        <w:tc>
          <w:tcPr>
            <w:tcW w:w="504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70D8B9F4" w14:textId="77777777" w:rsidR="00BE0DA2" w:rsidRDefault="008A7013">
            <w:pPr>
              <w:spacing w:before="20" w:after="20"/>
            </w:pPr>
            <w:r>
              <w:rPr>
                <w:color w:val="1A1A1A"/>
                <w:sz w:val="18"/>
                <w:szCs w:val="18"/>
              </w:rPr>
              <w:t xml:space="preserve">0 (No Action) — Q8.9 = Not Yet. Action = </w:t>
            </w:r>
            <w:proofErr w:type="gramStart"/>
            <w:r>
              <w:rPr>
                <w:color w:val="1A1A1A"/>
                <w:sz w:val="18"/>
                <w:szCs w:val="18"/>
              </w:rPr>
              <w:t>0 by definition</w:t>
            </w:r>
            <w:proofErr w:type="gramEnd"/>
            <w:r>
              <w:rPr>
                <w:color w:val="1A1A1A"/>
                <w:sz w:val="18"/>
                <w:szCs w:val="18"/>
              </w:rPr>
              <w:t>. Q8.9a is not applicable on the Not Yet path.</w:t>
            </w:r>
          </w:p>
        </w:tc>
        <w:tc>
          <w:tcPr>
            <w:tcW w:w="3024"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70D8B9F5" w14:textId="77777777" w:rsidR="00BE0DA2" w:rsidRDefault="00BE0DA2">
            <w:pPr>
              <w:spacing w:before="20" w:after="20"/>
            </w:pPr>
          </w:p>
        </w:tc>
      </w:tr>
      <w:tr w:rsidR="00BE0DA2" w14:paraId="70D8B9FA"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70D8B9F7" w14:textId="77777777" w:rsidR="00BE0DA2" w:rsidRDefault="008A7013">
            <w:pPr>
              <w:spacing w:before="20" w:after="20"/>
            </w:pPr>
            <w:r>
              <w:rPr>
                <w:b/>
                <w:bCs/>
                <w:color w:val="1A1A1A"/>
                <w:sz w:val="19"/>
                <w:szCs w:val="19"/>
              </w:rPr>
              <w:lastRenderedPageBreak/>
              <w:t>Composite</w:t>
            </w:r>
          </w:p>
        </w:tc>
        <w:tc>
          <w:tcPr>
            <w:tcW w:w="5040"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70D8B9F8" w14:textId="77777777" w:rsidR="00BE0DA2" w:rsidRDefault="008A7013">
            <w:pPr>
              <w:spacing w:before="20" w:after="20"/>
            </w:pPr>
            <w:r>
              <w:rPr>
                <w:b/>
                <w:bCs/>
                <w:color w:val="1A1A1A"/>
                <w:sz w:val="19"/>
                <w:szCs w:val="19"/>
              </w:rPr>
              <w:t>(3 + 1 + 0) ÷ 3 = 1.33</w:t>
            </w:r>
          </w:p>
        </w:tc>
        <w:tc>
          <w:tcPr>
            <w:tcW w:w="3024"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70D8B9F9" w14:textId="77777777" w:rsidR="00BE0DA2" w:rsidRDefault="008A7013">
            <w:pPr>
              <w:spacing w:before="20" w:after="20"/>
            </w:pPr>
            <w:r>
              <w:rPr>
                <w:b/>
                <w:bCs/>
                <w:color w:val="1A1A1A"/>
                <w:sz w:val="19"/>
                <w:szCs w:val="19"/>
              </w:rPr>
              <w:t>Topic Score = 1.33 × 20 = 27 / 100</w:t>
            </w:r>
          </w:p>
        </w:tc>
      </w:tr>
    </w:tbl>
    <w:p w14:paraId="70D8B9FB" w14:textId="77777777" w:rsidR="00BE0DA2" w:rsidRDefault="008A7013">
      <w:pPr>
        <w:spacing w:before="80" w:after="60"/>
      </w:pPr>
      <w:r>
        <w:rPr>
          <w:i/>
          <w:iCs/>
          <w:color w:val="666666"/>
          <w:sz w:val="17"/>
          <w:szCs w:val="17"/>
        </w:rPr>
        <w:t>27/100. Awareness lifted to 3 by the specific 2025 EAP timeline. Most impactful next steps: (1) implement the EAP by end-2025 and move Q8.9 to Yes; (2) expand Q8.10 to describe specific sick leave provisions beyond legal minimums and state the non-penalisation policy; (3) extend Q8.10a to cover fixed-term and other applicable worker categories; (4) complete Q8.10c with any flexible alternatives to medical certification.</w:t>
      </w:r>
    </w:p>
    <w:sectPr w:rsidR="00BE0DA2">
      <w:headerReference w:type="even" r:id="rId10"/>
      <w:headerReference w:type="default" r:id="rId11"/>
      <w:footerReference w:type="even" r:id="rId12"/>
      <w:footerReference w:type="default" r:id="rId13"/>
      <w:headerReference w:type="first" r:id="rId14"/>
      <w:footerReference w:type="first" r:id="rId15"/>
      <w:pgSz w:w="12240" w:h="15840"/>
      <w:pgMar w:top="1080" w:right="1080" w:bottom="1080" w:left="108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C056B7" w14:textId="77777777" w:rsidR="008A7013" w:rsidRDefault="008A7013" w:rsidP="00D36703">
      <w:r>
        <w:separator/>
      </w:r>
    </w:p>
  </w:endnote>
  <w:endnote w:type="continuationSeparator" w:id="0">
    <w:p w14:paraId="29322656" w14:textId="77777777" w:rsidR="008A7013" w:rsidRDefault="008A7013" w:rsidP="00D367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2310EC" w14:textId="77777777" w:rsidR="00D36703" w:rsidRDefault="00D367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D1D102" w14:textId="77777777" w:rsidR="00D36703" w:rsidRDefault="00D3670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24566" w14:textId="77777777" w:rsidR="00D36703" w:rsidRDefault="00D367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52EC7C" w14:textId="77777777" w:rsidR="008A7013" w:rsidRDefault="008A7013" w:rsidP="00D36703">
      <w:r>
        <w:separator/>
      </w:r>
    </w:p>
  </w:footnote>
  <w:footnote w:type="continuationSeparator" w:id="0">
    <w:p w14:paraId="6EBD7BAF" w14:textId="77777777" w:rsidR="008A7013" w:rsidRDefault="008A7013" w:rsidP="00D367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9DAE7" w14:textId="77777777" w:rsidR="00D36703" w:rsidRDefault="00D3670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6379099"/>
      <w:docPartObj>
        <w:docPartGallery w:val="Watermarks"/>
        <w:docPartUnique/>
      </w:docPartObj>
    </w:sdtPr>
    <w:sdtContent>
      <w:p w14:paraId="491CCDB1" w14:textId="5FAEC9FF" w:rsidR="00D36703" w:rsidRDefault="00D36703">
        <w:pPr>
          <w:pStyle w:val="Header"/>
        </w:pPr>
        <w:r>
          <w:rPr>
            <w:noProof/>
          </w:rPr>
          <w:pict w14:anchorId="1B99409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70186" w14:textId="77777777" w:rsidR="00D36703" w:rsidRDefault="00D367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481D64"/>
    <w:multiLevelType w:val="hybridMultilevel"/>
    <w:tmpl w:val="89C0FB4A"/>
    <w:lvl w:ilvl="0" w:tplc="D7F682C2">
      <w:start w:val="1"/>
      <w:numFmt w:val="bullet"/>
      <w:lvlText w:val="●"/>
      <w:lvlJc w:val="left"/>
      <w:pPr>
        <w:ind w:left="720" w:hanging="360"/>
      </w:pPr>
    </w:lvl>
    <w:lvl w:ilvl="1" w:tplc="DE96B8C6">
      <w:start w:val="1"/>
      <w:numFmt w:val="bullet"/>
      <w:lvlText w:val="○"/>
      <w:lvlJc w:val="left"/>
      <w:pPr>
        <w:ind w:left="1440" w:hanging="360"/>
      </w:pPr>
    </w:lvl>
    <w:lvl w:ilvl="2" w:tplc="222AF358">
      <w:start w:val="1"/>
      <w:numFmt w:val="bullet"/>
      <w:lvlText w:val="■"/>
      <w:lvlJc w:val="left"/>
      <w:pPr>
        <w:ind w:left="2160" w:hanging="360"/>
      </w:pPr>
    </w:lvl>
    <w:lvl w:ilvl="3" w:tplc="35C07EA2">
      <w:start w:val="1"/>
      <w:numFmt w:val="bullet"/>
      <w:lvlText w:val="●"/>
      <w:lvlJc w:val="left"/>
      <w:pPr>
        <w:ind w:left="2880" w:hanging="360"/>
      </w:pPr>
    </w:lvl>
    <w:lvl w:ilvl="4" w:tplc="96FA5858">
      <w:start w:val="1"/>
      <w:numFmt w:val="bullet"/>
      <w:lvlText w:val="○"/>
      <w:lvlJc w:val="left"/>
      <w:pPr>
        <w:ind w:left="3600" w:hanging="360"/>
      </w:pPr>
    </w:lvl>
    <w:lvl w:ilvl="5" w:tplc="A212F438">
      <w:start w:val="1"/>
      <w:numFmt w:val="bullet"/>
      <w:lvlText w:val="■"/>
      <w:lvlJc w:val="left"/>
      <w:pPr>
        <w:ind w:left="4320" w:hanging="360"/>
      </w:pPr>
    </w:lvl>
    <w:lvl w:ilvl="6" w:tplc="B6100712">
      <w:start w:val="1"/>
      <w:numFmt w:val="bullet"/>
      <w:lvlText w:val="●"/>
      <w:lvlJc w:val="left"/>
      <w:pPr>
        <w:ind w:left="5040" w:hanging="360"/>
      </w:pPr>
    </w:lvl>
    <w:lvl w:ilvl="7" w:tplc="768C3E58">
      <w:start w:val="1"/>
      <w:numFmt w:val="bullet"/>
      <w:lvlText w:val="●"/>
      <w:lvlJc w:val="left"/>
      <w:pPr>
        <w:ind w:left="5760" w:hanging="360"/>
      </w:pPr>
    </w:lvl>
    <w:lvl w:ilvl="8" w:tplc="4096079C">
      <w:start w:val="1"/>
      <w:numFmt w:val="bullet"/>
      <w:lvlText w:val="●"/>
      <w:lvlJc w:val="left"/>
      <w:pPr>
        <w:ind w:left="6480" w:hanging="360"/>
      </w:pPr>
    </w:lvl>
  </w:abstractNum>
  <w:num w:numId="1" w16cid:durableId="769351445">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0DA2"/>
    <w:rsid w:val="008A7013"/>
    <w:rsid w:val="00BA5F60"/>
    <w:rsid w:val="00BE0DA2"/>
    <w:rsid w:val="00D3670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D8B948"/>
  <w15:docId w15:val="{8B093BA9-FA5F-40AF-8E47-5CA6FA4921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style>
  <w:style w:type="character" w:customStyle="1" w:styleId="EndnoteTextChar">
    <w:name w:val="Endnote Text Char"/>
    <w:link w:val="EndnoteText"/>
    <w:uiPriority w:val="99"/>
    <w:semiHidden/>
    <w:unhideWhenUsed/>
    <w:rPr>
      <w:sz w:val="20"/>
      <w:szCs w:val="20"/>
    </w:rPr>
  </w:style>
  <w:style w:type="paragraph" w:styleId="Header">
    <w:name w:val="header"/>
    <w:basedOn w:val="Normal"/>
    <w:link w:val="HeaderChar"/>
    <w:uiPriority w:val="99"/>
    <w:unhideWhenUsed/>
    <w:rsid w:val="00D36703"/>
    <w:pPr>
      <w:tabs>
        <w:tab w:val="center" w:pos="4513"/>
        <w:tab w:val="right" w:pos="9026"/>
      </w:tabs>
    </w:pPr>
  </w:style>
  <w:style w:type="character" w:customStyle="1" w:styleId="HeaderChar">
    <w:name w:val="Header Char"/>
    <w:basedOn w:val="DefaultParagraphFont"/>
    <w:link w:val="Header"/>
    <w:uiPriority w:val="99"/>
    <w:rsid w:val="00D36703"/>
  </w:style>
  <w:style w:type="paragraph" w:styleId="Footer">
    <w:name w:val="footer"/>
    <w:basedOn w:val="Normal"/>
    <w:link w:val="FooterChar"/>
    <w:uiPriority w:val="99"/>
    <w:unhideWhenUsed/>
    <w:rsid w:val="00D36703"/>
    <w:pPr>
      <w:tabs>
        <w:tab w:val="center" w:pos="4513"/>
        <w:tab w:val="right" w:pos="9026"/>
      </w:tabs>
    </w:pPr>
  </w:style>
  <w:style w:type="character" w:customStyle="1" w:styleId="FooterChar">
    <w:name w:val="Footer Char"/>
    <w:basedOn w:val="DefaultParagraphFont"/>
    <w:link w:val="Footer"/>
    <w:uiPriority w:val="99"/>
    <w:rsid w:val="00D367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ca4304b-c649-438f-a5d1-c2f26bdbd233">
      <Terms xmlns="http://schemas.microsoft.com/office/infopath/2007/PartnerControls"/>
    </lcf76f155ced4ddcb4097134ff3c332f>
    <TaxCatchAll xmlns="90e2f44b-3124-4971-a86d-243de5684ae9" xsi:nil="true"/>
    <_ip_UnifiedCompliancePolicyUIAction xmlns="http://schemas.microsoft.com/sharepoint/v3" xsi:nil="true"/>
    <_ip_UnifiedCompliancePolicyProperties xmlns="http://schemas.microsoft.com/sharepoint/v3" xsi:nil="true"/>
    <_Flow_SignoffStatus xmlns="cca4304b-c649-438f-a5d1-c2f26bdbd23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F722294396894084E00DFA9F6F6037" ma:contentTypeVersion="22" ma:contentTypeDescription="Create a new document." ma:contentTypeScope="" ma:versionID="c3701c230041e9d2d92018f496088b6a">
  <xsd:schema xmlns:xsd="http://www.w3.org/2001/XMLSchema" xmlns:xs="http://www.w3.org/2001/XMLSchema" xmlns:p="http://schemas.microsoft.com/office/2006/metadata/properties" xmlns:ns1="http://schemas.microsoft.com/sharepoint/v3" xmlns:ns2="cca4304b-c649-438f-a5d1-c2f26bdbd233" xmlns:ns3="90e2f44b-3124-4971-a86d-243de5684ae9" targetNamespace="http://schemas.microsoft.com/office/2006/metadata/properties" ma:root="true" ma:fieldsID="63ac87241ded5e0f8f024ebc611c328e" ns1:_="" ns2:_="" ns3:_="">
    <xsd:import namespace="http://schemas.microsoft.com/sharepoint/v3"/>
    <xsd:import namespace="cca4304b-c649-438f-a5d1-c2f26bdbd233"/>
    <xsd:import namespace="90e2f44b-3124-4971-a86d-243de5684ae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element ref="ns2:_Flow_SignoffStatu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a4304b-c649-438f-a5d1-c2f26bdbd2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_Flow_SignoffStatus" ma:index="22" nillable="true" ma:displayName="Sign-off status" ma:internalName="Sign_x002d_off_x0020_status">
      <xsd:simpleType>
        <xsd:restriction base="dms:Text"/>
      </xsd:simpleType>
    </xsd:element>
    <xsd:element name="MediaServiceLocation" ma:index="23"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53a93e6a-eb94-4f22-847d-80c377548ab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0e2f44b-3124-4971-a86d-243de5684ae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e6297a8c-15e9-456d-9ab2-3f4e29740b46}" ma:internalName="TaxCatchAll" ma:showField="CatchAllData" ma:web="90e2f44b-3124-4971-a86d-243de5684a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5B97E1-71F5-41BF-88F2-9294BB01C1B1}">
  <ds:schemaRefs>
    <ds:schemaRef ds:uri="http://schemas.microsoft.com/office/2006/metadata/properties"/>
    <ds:schemaRef ds:uri="http://schemas.microsoft.com/office/infopath/2007/PartnerControls"/>
    <ds:schemaRef ds:uri="cca4304b-c649-438f-a5d1-c2f26bdbd233"/>
    <ds:schemaRef ds:uri="90e2f44b-3124-4971-a86d-243de5684ae9"/>
    <ds:schemaRef ds:uri="http://schemas.microsoft.com/sharepoint/v3"/>
  </ds:schemaRefs>
</ds:datastoreItem>
</file>

<file path=customXml/itemProps2.xml><?xml version="1.0" encoding="utf-8"?>
<ds:datastoreItem xmlns:ds="http://schemas.openxmlformats.org/officeDocument/2006/customXml" ds:itemID="{BC7E36EB-1E32-4AD3-ABDA-52BAAE7ED65C}">
  <ds:schemaRefs>
    <ds:schemaRef ds:uri="http://schemas.microsoft.com/sharepoint/v3/contenttype/forms"/>
  </ds:schemaRefs>
</ds:datastoreItem>
</file>

<file path=customXml/itemProps3.xml><?xml version="1.0" encoding="utf-8"?>
<ds:datastoreItem xmlns:ds="http://schemas.openxmlformats.org/officeDocument/2006/customXml" ds:itemID="{D6FF0418-7A78-485D-BF36-96436A2183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ca4304b-c649-438f-a5d1-c2f26bdbd233"/>
    <ds:schemaRef ds:uri="90e2f44b-3124-4971-a86d-243de5684a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2977</Words>
  <Characters>16973</Characters>
  <Application>Microsoft Office Word</Application>
  <DocSecurity>0</DocSecurity>
  <Lines>141</Lines>
  <Paragraphs>39</Paragraphs>
  <ScaleCrop>false</ScaleCrop>
  <Company/>
  <LinksUpToDate>false</LinksUpToDate>
  <CharactersWithSpaces>19911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Karkhedkar, Shruti (TR Foundation)</cp:lastModifiedBy>
  <cp:revision>2</cp:revision>
  <dcterms:created xsi:type="dcterms:W3CDTF">2026-07-05T14:19:00Z</dcterms:created>
  <dcterms:modified xsi:type="dcterms:W3CDTF">2026-07-14T15:39:00Z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0x010100F3F722294396894084E00DFA9F6F6037</vt:lpwstr>
  </property>
  <property fmtid="{D5CDD505-2E9C-101B-9397-08002B2CF9AE}" pid="3" name="MediaServiceImageTags">
    <vt:lpwstr/>
  </property>
</Properties>
</file>